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921" w:rsidRDefault="00CC7A59">
      <w:pPr>
        <w:jc w:val="left"/>
        <w:rPr>
          <w:rFonts w:ascii="方正小标宋简体" w:eastAsia="方正小标宋简体" w:hAnsi="方正小标宋简体" w:cs="方正小标宋简体"/>
          <w:szCs w:val="21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083921" w:rsidRDefault="00CC7A59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眼病预防平台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采购评分标准</w:t>
      </w:r>
    </w:p>
    <w:tbl>
      <w:tblPr>
        <w:tblW w:w="10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1395"/>
        <w:gridCol w:w="1710"/>
        <w:gridCol w:w="6880"/>
      </w:tblGrid>
      <w:tr w:rsidR="00083921">
        <w:trPr>
          <w:trHeight w:val="688"/>
          <w:jc w:val="center"/>
        </w:trPr>
        <w:tc>
          <w:tcPr>
            <w:tcW w:w="791" w:type="dxa"/>
            <w:vAlign w:val="center"/>
          </w:tcPr>
          <w:p w:rsidR="00083921" w:rsidRDefault="00CC7A59">
            <w:pPr>
              <w:pStyle w:val="a5"/>
              <w:tabs>
                <w:tab w:val="left" w:pos="600"/>
              </w:tabs>
              <w:spacing w:line="400" w:lineRule="exact"/>
              <w:ind w:firstLine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395" w:type="dxa"/>
            <w:vAlign w:val="center"/>
          </w:tcPr>
          <w:p w:rsidR="00083921" w:rsidRDefault="00CC7A59">
            <w:pPr>
              <w:pStyle w:val="a5"/>
              <w:tabs>
                <w:tab w:val="left" w:pos="600"/>
              </w:tabs>
              <w:spacing w:line="400" w:lineRule="exact"/>
              <w:ind w:firstLine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评审项目</w:t>
            </w:r>
          </w:p>
        </w:tc>
        <w:tc>
          <w:tcPr>
            <w:tcW w:w="1710" w:type="dxa"/>
            <w:vAlign w:val="center"/>
          </w:tcPr>
          <w:p w:rsidR="00083921" w:rsidRDefault="00CC7A59">
            <w:pPr>
              <w:pStyle w:val="a5"/>
              <w:tabs>
                <w:tab w:val="left" w:pos="600"/>
              </w:tabs>
              <w:spacing w:line="400" w:lineRule="exact"/>
              <w:ind w:firstLine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项目分值</w:t>
            </w:r>
          </w:p>
        </w:tc>
        <w:tc>
          <w:tcPr>
            <w:tcW w:w="6880" w:type="dxa"/>
            <w:vAlign w:val="center"/>
          </w:tcPr>
          <w:p w:rsidR="00083921" w:rsidRDefault="00CC7A59">
            <w:pPr>
              <w:pStyle w:val="a5"/>
              <w:tabs>
                <w:tab w:val="left" w:pos="600"/>
              </w:tabs>
              <w:spacing w:line="400" w:lineRule="exact"/>
              <w:ind w:firstLine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评审标准</w:t>
            </w:r>
          </w:p>
        </w:tc>
      </w:tr>
      <w:tr w:rsidR="00083921">
        <w:trPr>
          <w:trHeight w:val="4560"/>
          <w:jc w:val="center"/>
        </w:trPr>
        <w:tc>
          <w:tcPr>
            <w:tcW w:w="791" w:type="dxa"/>
            <w:vAlign w:val="center"/>
          </w:tcPr>
          <w:p w:rsidR="00083921" w:rsidRDefault="00CC7A59">
            <w:pPr>
              <w:pStyle w:val="a5"/>
              <w:tabs>
                <w:tab w:val="left" w:pos="600"/>
              </w:tabs>
              <w:spacing w:line="460" w:lineRule="exact"/>
              <w:ind w:firstLine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395" w:type="dxa"/>
            <w:vAlign w:val="center"/>
          </w:tcPr>
          <w:p w:rsidR="00083921" w:rsidRDefault="00CC7A59">
            <w:pPr>
              <w:pStyle w:val="a5"/>
              <w:tabs>
                <w:tab w:val="left" w:pos="600"/>
              </w:tabs>
              <w:spacing w:line="460" w:lineRule="exact"/>
              <w:ind w:firstLine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项目策划</w:t>
            </w:r>
          </w:p>
        </w:tc>
        <w:tc>
          <w:tcPr>
            <w:tcW w:w="1710" w:type="dxa"/>
            <w:vAlign w:val="center"/>
          </w:tcPr>
          <w:p w:rsidR="00083921" w:rsidRDefault="00CC7A59">
            <w:pPr>
              <w:pStyle w:val="a5"/>
              <w:tabs>
                <w:tab w:val="left" w:pos="600"/>
              </w:tabs>
              <w:spacing w:line="460" w:lineRule="exact"/>
              <w:ind w:firstLine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20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分</w:t>
            </w:r>
          </w:p>
        </w:tc>
        <w:tc>
          <w:tcPr>
            <w:tcW w:w="6880" w:type="dxa"/>
            <w:vAlign w:val="center"/>
          </w:tcPr>
          <w:p w:rsidR="00083921" w:rsidRDefault="00CC7A59">
            <w:pPr>
              <w:pStyle w:val="a8"/>
              <w:spacing w:after="0" w:line="400" w:lineRule="exact"/>
              <w:ind w:firstLineChars="200" w:firstLine="562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评审等级如下：</w:t>
            </w:r>
          </w:p>
          <w:p w:rsidR="00083921" w:rsidRDefault="00CC7A59">
            <w:pPr>
              <w:pStyle w:val="a8"/>
              <w:spacing w:after="0" w:line="40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val="zh-CN"/>
              </w:rPr>
              <w:t>供应商针对项目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整体和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眼病预防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val="zh-CN"/>
              </w:rPr>
              <w:t>的理解，组织策划线上平台构建方案，评委根据其内容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科学合理性、可操作性等方面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val="zh-CN"/>
              </w:rPr>
              <w:t>分档排序，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评分如下：</w:t>
            </w:r>
          </w:p>
          <w:p w:rsidR="00083921" w:rsidRDefault="00CC7A59">
            <w:pPr>
              <w:pStyle w:val="a8"/>
              <w:spacing w:after="0" w:line="40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1.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能结合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眼病预防平台需求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，形成创意鲜明、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网页页面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视觉效果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协调上乘、满足平台对于患者教育的需求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、调性吻合的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规划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方案，并且费用支出合理，可操作性、执行性强，得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20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分；</w:t>
            </w:r>
          </w:p>
          <w:p w:rsidR="00083921" w:rsidRDefault="00CC7A59">
            <w:pPr>
              <w:pStyle w:val="a8"/>
              <w:spacing w:after="0" w:line="40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2.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方案契合实际，可行性评价为良，得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15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分；</w:t>
            </w:r>
          </w:p>
          <w:p w:rsidR="00083921" w:rsidRDefault="00CC7A59">
            <w:pPr>
              <w:pStyle w:val="a8"/>
              <w:spacing w:after="0" w:line="40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3.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方案简单，可行性评价一般，得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10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分；</w:t>
            </w:r>
          </w:p>
          <w:p w:rsidR="00083921" w:rsidRDefault="00CC7A59">
            <w:pPr>
              <w:pStyle w:val="a8"/>
              <w:spacing w:after="0" w:line="40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4.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策划方案初步简陋，可行性评价为差，得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分；</w:t>
            </w:r>
          </w:p>
          <w:p w:rsidR="00083921" w:rsidRDefault="00CC7A59">
            <w:pPr>
              <w:pStyle w:val="a8"/>
              <w:spacing w:after="0" w:line="40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5.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有对项目内容解读，但没有初步方案，得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0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分。</w:t>
            </w:r>
          </w:p>
        </w:tc>
      </w:tr>
      <w:tr w:rsidR="00083921" w:rsidTr="007C527D">
        <w:trPr>
          <w:trHeight w:val="6322"/>
          <w:jc w:val="center"/>
        </w:trPr>
        <w:tc>
          <w:tcPr>
            <w:tcW w:w="791" w:type="dxa"/>
            <w:vAlign w:val="center"/>
          </w:tcPr>
          <w:p w:rsidR="00083921" w:rsidRDefault="00CC7A59">
            <w:pPr>
              <w:pStyle w:val="a5"/>
              <w:tabs>
                <w:tab w:val="left" w:pos="600"/>
              </w:tabs>
              <w:spacing w:line="460" w:lineRule="exact"/>
              <w:ind w:firstLine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395" w:type="dxa"/>
            <w:vAlign w:val="center"/>
          </w:tcPr>
          <w:p w:rsidR="00083921" w:rsidRDefault="00CC7A59">
            <w:pPr>
              <w:pStyle w:val="a5"/>
              <w:tabs>
                <w:tab w:val="left" w:pos="600"/>
              </w:tabs>
              <w:spacing w:line="460" w:lineRule="exact"/>
              <w:ind w:firstLine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实施要求</w:t>
            </w:r>
          </w:p>
        </w:tc>
        <w:tc>
          <w:tcPr>
            <w:tcW w:w="1710" w:type="dxa"/>
            <w:vAlign w:val="center"/>
          </w:tcPr>
          <w:p w:rsidR="00083921" w:rsidRDefault="00CC7A59">
            <w:pPr>
              <w:pStyle w:val="a5"/>
              <w:tabs>
                <w:tab w:val="left" w:pos="600"/>
              </w:tabs>
              <w:spacing w:line="460" w:lineRule="exact"/>
              <w:ind w:firstLine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25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分</w:t>
            </w:r>
          </w:p>
        </w:tc>
        <w:tc>
          <w:tcPr>
            <w:tcW w:w="6880" w:type="dxa"/>
            <w:vAlign w:val="center"/>
          </w:tcPr>
          <w:p w:rsidR="00083921" w:rsidRDefault="00CC7A59">
            <w:pPr>
              <w:pStyle w:val="a8"/>
              <w:adjustRightInd w:val="0"/>
              <w:spacing w:after="0" w:line="420" w:lineRule="exact"/>
              <w:ind w:firstLineChars="200" w:firstLine="562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分值分配如下：</w:t>
            </w:r>
          </w:p>
          <w:p w:rsidR="00083921" w:rsidRDefault="00CC7A59">
            <w:pPr>
              <w:pStyle w:val="a8"/>
              <w:spacing w:after="0" w:line="42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1.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整体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平台搭建及上线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服务方案：供应商需提供整体详细、合理、可行的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平台设计及上线规划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方案，包括但不限于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上线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进度规划、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网页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设计制作、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上线测试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等，实施方案详细、合理、可行。根据其响应程度计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1-10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分；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</w:t>
            </w:r>
          </w:p>
          <w:p w:rsidR="00083921" w:rsidRDefault="00CC7A59">
            <w:pPr>
              <w:pStyle w:val="a8"/>
              <w:spacing w:after="0" w:line="42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2.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拟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涉及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本项目的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上线内容清单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：提供相关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平台程序编程工作内容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清单，包括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项目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、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名称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、数量等，要求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流程清晰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、技术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稳定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、性能良好，安全可靠。根据其响应程度计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1-5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分；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                                         </w:t>
            </w:r>
          </w:p>
          <w:p w:rsidR="00083921" w:rsidRDefault="00CC7A59">
            <w:pPr>
              <w:pStyle w:val="a8"/>
              <w:spacing w:after="0" w:line="42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3.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质量保证：供应商提供的服务质量保证全面、可行，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项目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筹备过程进度把控合理，承诺项目能按时、按质完成，满足采购方要求。根据其响应程度计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1-5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分；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                                               </w:t>
            </w:r>
          </w:p>
          <w:p w:rsidR="00083921" w:rsidRDefault="00CC7A59">
            <w:pPr>
              <w:pStyle w:val="a8"/>
              <w:spacing w:after="0" w:line="42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4.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合理化建议：对项目的关键点、拟采取的措施，提出针对本项目服务过程中有利于采购方和项目实施的合理化建议。根据其响应程度计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1-5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分。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</w:t>
            </w:r>
          </w:p>
        </w:tc>
      </w:tr>
      <w:tr w:rsidR="00083921" w:rsidTr="007C527D">
        <w:trPr>
          <w:trHeight w:val="1975"/>
          <w:jc w:val="center"/>
        </w:trPr>
        <w:tc>
          <w:tcPr>
            <w:tcW w:w="791" w:type="dxa"/>
            <w:vAlign w:val="center"/>
          </w:tcPr>
          <w:p w:rsidR="00083921" w:rsidRDefault="00CC7A59">
            <w:pPr>
              <w:pStyle w:val="a5"/>
              <w:tabs>
                <w:tab w:val="left" w:pos="600"/>
              </w:tabs>
              <w:spacing w:line="460" w:lineRule="exact"/>
              <w:ind w:firstLine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395" w:type="dxa"/>
            <w:vAlign w:val="center"/>
          </w:tcPr>
          <w:p w:rsidR="00083921" w:rsidRDefault="00CC7A59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人员配备</w:t>
            </w:r>
          </w:p>
        </w:tc>
        <w:tc>
          <w:tcPr>
            <w:tcW w:w="1710" w:type="dxa"/>
            <w:vAlign w:val="center"/>
          </w:tcPr>
          <w:p w:rsidR="00083921" w:rsidRDefault="00CC7A59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10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分</w:t>
            </w:r>
          </w:p>
        </w:tc>
        <w:tc>
          <w:tcPr>
            <w:tcW w:w="6880" w:type="dxa"/>
            <w:vAlign w:val="center"/>
          </w:tcPr>
          <w:p w:rsidR="00083921" w:rsidRDefault="00CC7A59">
            <w:pPr>
              <w:pStyle w:val="a8"/>
              <w:adjustRightInd w:val="0"/>
              <w:spacing w:after="0" w:line="460" w:lineRule="exact"/>
              <w:ind w:firstLineChars="200" w:firstLine="562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333333"/>
                <w:kern w:val="0"/>
                <w:sz w:val="28"/>
                <w:szCs w:val="28"/>
              </w:rPr>
              <w:t>分值分配如下：</w:t>
            </w:r>
          </w:p>
          <w:p w:rsidR="00083921" w:rsidRDefault="00CC7A59">
            <w:pPr>
              <w:spacing w:line="460" w:lineRule="exact"/>
              <w:ind w:firstLineChars="200" w:firstLine="560"/>
              <w:jc w:val="lef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.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组织机构设置合理、人员职责明确、分工清晰合理、团队相关项目实施经验丰富、证明资料齐全。根据其响应程度计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1-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10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分。</w:t>
            </w:r>
          </w:p>
        </w:tc>
      </w:tr>
      <w:tr w:rsidR="00083921" w:rsidTr="007C527D">
        <w:trPr>
          <w:trHeight w:val="2824"/>
          <w:jc w:val="center"/>
        </w:trPr>
        <w:tc>
          <w:tcPr>
            <w:tcW w:w="791" w:type="dxa"/>
            <w:vAlign w:val="center"/>
          </w:tcPr>
          <w:p w:rsidR="00083921" w:rsidRDefault="00CC7A59">
            <w:pPr>
              <w:pStyle w:val="a5"/>
              <w:tabs>
                <w:tab w:val="left" w:pos="600"/>
              </w:tabs>
              <w:spacing w:line="460" w:lineRule="exact"/>
              <w:ind w:firstLine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4</w:t>
            </w:r>
          </w:p>
        </w:tc>
        <w:tc>
          <w:tcPr>
            <w:tcW w:w="1395" w:type="dxa"/>
            <w:vAlign w:val="center"/>
          </w:tcPr>
          <w:p w:rsidR="00083921" w:rsidRDefault="00CC7A59">
            <w:pPr>
              <w:spacing w:line="460" w:lineRule="exact"/>
              <w:ind w:firstLine="28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资质荣誉</w:t>
            </w:r>
          </w:p>
        </w:tc>
        <w:tc>
          <w:tcPr>
            <w:tcW w:w="1710" w:type="dxa"/>
            <w:vAlign w:val="center"/>
          </w:tcPr>
          <w:p w:rsidR="00083921" w:rsidRDefault="00CC7A59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10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分</w:t>
            </w:r>
          </w:p>
        </w:tc>
        <w:tc>
          <w:tcPr>
            <w:tcW w:w="6880" w:type="dxa"/>
            <w:vAlign w:val="center"/>
          </w:tcPr>
          <w:p w:rsidR="00083921" w:rsidRDefault="00CC7A59">
            <w:pPr>
              <w:pStyle w:val="a8"/>
              <w:adjustRightInd w:val="0"/>
              <w:spacing w:after="0" w:line="460" w:lineRule="exact"/>
              <w:ind w:firstLineChars="200" w:firstLine="562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分值分配如下：</w:t>
            </w:r>
          </w:p>
          <w:p w:rsidR="00083921" w:rsidRDefault="00CC7A59">
            <w:pPr>
              <w:spacing w:line="46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具有独立承担民事责任的能力，经营范围符合本次采购内容，得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分；</w:t>
            </w:r>
          </w:p>
          <w:p w:rsidR="00083921" w:rsidRDefault="00CC7A59">
            <w:pPr>
              <w:spacing w:line="46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公司成立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两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年（含）以上，注册资本金在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100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万以上，具有良好的商业信誉，得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4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分；</w:t>
            </w:r>
          </w:p>
          <w:p w:rsidR="00083921" w:rsidRDefault="00CC7A59">
            <w:pPr>
              <w:spacing w:line="46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3.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公司自身具备已有成熟网络平台的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，得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4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分。</w:t>
            </w:r>
          </w:p>
        </w:tc>
      </w:tr>
      <w:tr w:rsidR="00083921">
        <w:trPr>
          <w:trHeight w:val="3050"/>
          <w:jc w:val="center"/>
        </w:trPr>
        <w:tc>
          <w:tcPr>
            <w:tcW w:w="791" w:type="dxa"/>
            <w:vAlign w:val="center"/>
          </w:tcPr>
          <w:p w:rsidR="00083921" w:rsidRDefault="00CC7A59">
            <w:pPr>
              <w:pStyle w:val="a5"/>
              <w:tabs>
                <w:tab w:val="left" w:pos="600"/>
              </w:tabs>
              <w:spacing w:line="460" w:lineRule="exact"/>
              <w:ind w:firstLine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5.</w:t>
            </w:r>
          </w:p>
        </w:tc>
        <w:tc>
          <w:tcPr>
            <w:tcW w:w="1395" w:type="dxa"/>
            <w:vAlign w:val="center"/>
          </w:tcPr>
          <w:p w:rsidR="00083921" w:rsidRDefault="00CC7A59">
            <w:pPr>
              <w:spacing w:line="460" w:lineRule="exact"/>
              <w:ind w:firstLine="28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近两年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  <w:t>同类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业绩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  <w:t>情况</w:t>
            </w:r>
          </w:p>
        </w:tc>
        <w:tc>
          <w:tcPr>
            <w:tcW w:w="1710" w:type="dxa"/>
            <w:vAlign w:val="center"/>
          </w:tcPr>
          <w:p w:rsidR="00083921" w:rsidRDefault="00CC7A59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10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分</w:t>
            </w:r>
          </w:p>
        </w:tc>
        <w:tc>
          <w:tcPr>
            <w:tcW w:w="6880" w:type="dxa"/>
            <w:vAlign w:val="center"/>
          </w:tcPr>
          <w:p w:rsidR="00083921" w:rsidRDefault="00CC7A59">
            <w:pPr>
              <w:pStyle w:val="a8"/>
              <w:adjustRightInd w:val="0"/>
              <w:spacing w:after="0" w:line="460" w:lineRule="exact"/>
              <w:ind w:firstLineChars="200" w:firstLine="562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分值分配如下：</w:t>
            </w:r>
          </w:p>
          <w:p w:rsidR="00083921" w:rsidRDefault="00CC7A59">
            <w:pPr>
              <w:spacing w:line="46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.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提供近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年（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202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日至今）至少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项类似项目业绩，得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分；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br/>
              <w:t xml:space="preserve">    2.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其中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，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服务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眼科相关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同类线上平台建设经验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的，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提供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项得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分，最高分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值为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8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分。</w:t>
            </w:r>
          </w:p>
          <w:p w:rsidR="00083921" w:rsidRDefault="00CC7A59">
            <w:pPr>
              <w:pStyle w:val="a8"/>
              <w:adjustRightInd w:val="0"/>
              <w:spacing w:after="0" w:line="460" w:lineRule="exact"/>
              <w:ind w:firstLineChars="200" w:firstLine="560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（以上材料提供复印件，加盖供应商位公章，否则不予计分。）</w:t>
            </w:r>
          </w:p>
        </w:tc>
      </w:tr>
      <w:tr w:rsidR="00083921">
        <w:trPr>
          <w:trHeight w:val="3215"/>
          <w:jc w:val="center"/>
        </w:trPr>
        <w:tc>
          <w:tcPr>
            <w:tcW w:w="791" w:type="dxa"/>
            <w:vAlign w:val="center"/>
          </w:tcPr>
          <w:p w:rsidR="00083921" w:rsidRDefault="00CC7A59">
            <w:pPr>
              <w:pStyle w:val="a5"/>
              <w:tabs>
                <w:tab w:val="left" w:pos="600"/>
              </w:tabs>
              <w:spacing w:line="460" w:lineRule="exact"/>
              <w:ind w:firstLine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6</w:t>
            </w:r>
          </w:p>
        </w:tc>
        <w:tc>
          <w:tcPr>
            <w:tcW w:w="1395" w:type="dxa"/>
            <w:vAlign w:val="center"/>
          </w:tcPr>
          <w:p w:rsidR="00083921" w:rsidRDefault="00CC7A59">
            <w:pPr>
              <w:spacing w:line="460" w:lineRule="exact"/>
              <w:ind w:firstLine="28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报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价</w:t>
            </w:r>
          </w:p>
        </w:tc>
        <w:tc>
          <w:tcPr>
            <w:tcW w:w="1710" w:type="dxa"/>
            <w:vAlign w:val="center"/>
          </w:tcPr>
          <w:p w:rsidR="00083921" w:rsidRDefault="00CC7A59">
            <w:pPr>
              <w:spacing w:line="460" w:lineRule="exact"/>
              <w:ind w:firstLine="28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20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分</w:t>
            </w:r>
          </w:p>
        </w:tc>
        <w:tc>
          <w:tcPr>
            <w:tcW w:w="6880" w:type="dxa"/>
            <w:vAlign w:val="center"/>
          </w:tcPr>
          <w:p w:rsidR="00083921" w:rsidRDefault="00CC7A59">
            <w:pPr>
              <w:pStyle w:val="a3"/>
              <w:spacing w:line="460" w:lineRule="exact"/>
              <w:ind w:firstLineChars="200" w:firstLine="56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价格分是以满足招标文件要求且全部有效投标报价的</w:t>
            </w:r>
            <w:r w:rsidR="007C527D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最低分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为评标基准价，其他投标人的价格分则按比例算出。</w:t>
            </w:r>
          </w:p>
          <w:p w:rsidR="00083921" w:rsidRDefault="00CC7A59">
            <w:pPr>
              <w:widowControl/>
              <w:spacing w:line="46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价格分＝（评标基准价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投标报价）×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20</w:t>
            </w:r>
          </w:p>
          <w:p w:rsidR="00083921" w:rsidRDefault="00CC7A59">
            <w:pPr>
              <w:spacing w:line="460" w:lineRule="exact"/>
              <w:ind w:firstLineChars="200" w:firstLine="56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如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评标基准价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投标报价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)&gt;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，则按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计算，即等于或低于评标基准价的投标报价价格得分为满分。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                                   </w:t>
            </w:r>
          </w:p>
        </w:tc>
      </w:tr>
      <w:tr w:rsidR="00083921">
        <w:trPr>
          <w:trHeight w:val="2082"/>
          <w:jc w:val="center"/>
        </w:trPr>
        <w:tc>
          <w:tcPr>
            <w:tcW w:w="791" w:type="dxa"/>
            <w:vAlign w:val="center"/>
          </w:tcPr>
          <w:p w:rsidR="00083921" w:rsidRDefault="00CC7A59">
            <w:pPr>
              <w:pStyle w:val="a5"/>
              <w:tabs>
                <w:tab w:val="left" w:pos="600"/>
              </w:tabs>
              <w:spacing w:line="460" w:lineRule="exact"/>
              <w:ind w:firstLine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7</w:t>
            </w:r>
          </w:p>
        </w:tc>
        <w:tc>
          <w:tcPr>
            <w:tcW w:w="1395" w:type="dxa"/>
            <w:vAlign w:val="center"/>
          </w:tcPr>
          <w:p w:rsidR="00083921" w:rsidRDefault="00CC7A59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val="zh-CN"/>
              </w:rPr>
              <w:t>应急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预案</w:t>
            </w:r>
          </w:p>
        </w:tc>
        <w:tc>
          <w:tcPr>
            <w:tcW w:w="1710" w:type="dxa"/>
            <w:vAlign w:val="center"/>
          </w:tcPr>
          <w:p w:rsidR="00083921" w:rsidRDefault="00CC7A59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分</w:t>
            </w:r>
          </w:p>
        </w:tc>
        <w:tc>
          <w:tcPr>
            <w:tcW w:w="6880" w:type="dxa"/>
            <w:vAlign w:val="center"/>
          </w:tcPr>
          <w:p w:rsidR="00083921" w:rsidRDefault="00CC7A59">
            <w:pPr>
              <w:spacing w:line="460" w:lineRule="exact"/>
              <w:ind w:firstLineChars="200" w:firstLine="56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val="zh-CN"/>
              </w:rPr>
              <w:t>供应商针对项目突发异常事宜的相关处理方案，包括网络错误、资源包不足、宽带阻塞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、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val="zh-CN"/>
              </w:rPr>
              <w:t>安全问题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等突发事件，提出相应预案，并作切实合理的服务承诺；根据其响应程度计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1-5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分。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                         </w:t>
            </w:r>
          </w:p>
        </w:tc>
      </w:tr>
      <w:tr w:rsidR="00083921">
        <w:trPr>
          <w:trHeight w:val="905"/>
          <w:jc w:val="center"/>
        </w:trPr>
        <w:tc>
          <w:tcPr>
            <w:tcW w:w="791" w:type="dxa"/>
            <w:vAlign w:val="center"/>
          </w:tcPr>
          <w:p w:rsidR="00083921" w:rsidRDefault="00CC7A59">
            <w:pPr>
              <w:pStyle w:val="a5"/>
              <w:tabs>
                <w:tab w:val="left" w:pos="600"/>
              </w:tabs>
              <w:spacing w:line="460" w:lineRule="exact"/>
              <w:ind w:firstLine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1395" w:type="dxa"/>
            <w:vAlign w:val="center"/>
          </w:tcPr>
          <w:p w:rsidR="00083921" w:rsidRDefault="00CC7A59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总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分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值</w:t>
            </w:r>
          </w:p>
        </w:tc>
        <w:tc>
          <w:tcPr>
            <w:tcW w:w="1710" w:type="dxa"/>
            <w:vAlign w:val="center"/>
          </w:tcPr>
          <w:p w:rsidR="00083921" w:rsidRDefault="00CC7A59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100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分</w:t>
            </w:r>
          </w:p>
        </w:tc>
        <w:tc>
          <w:tcPr>
            <w:tcW w:w="6880" w:type="dxa"/>
            <w:vAlign w:val="center"/>
          </w:tcPr>
          <w:p w:rsidR="00083921" w:rsidRDefault="00083921">
            <w:pPr>
              <w:spacing w:line="46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</w:tbl>
    <w:p w:rsidR="00083921" w:rsidRDefault="00083921"/>
    <w:sectPr w:rsidR="00083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A59" w:rsidRDefault="00CC7A59" w:rsidP="007C527D">
      <w:r>
        <w:separator/>
      </w:r>
    </w:p>
  </w:endnote>
  <w:endnote w:type="continuationSeparator" w:id="0">
    <w:p w:rsidR="00CC7A59" w:rsidRDefault="00CC7A59" w:rsidP="007C5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A59" w:rsidRDefault="00CC7A59" w:rsidP="007C527D">
      <w:r>
        <w:separator/>
      </w:r>
    </w:p>
  </w:footnote>
  <w:footnote w:type="continuationSeparator" w:id="0">
    <w:p w:rsidR="00CC7A59" w:rsidRDefault="00CC7A59" w:rsidP="007C5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MTc0NTA2NjZjNjQ0OGZlNGRiMGE2YzkyZDllY2QifQ=="/>
  </w:docVars>
  <w:rsids>
    <w:rsidRoot w:val="03563B33"/>
    <w:rsid w:val="0006618B"/>
    <w:rsid w:val="00083921"/>
    <w:rsid w:val="000B6F4B"/>
    <w:rsid w:val="0040176B"/>
    <w:rsid w:val="004170F3"/>
    <w:rsid w:val="005841AE"/>
    <w:rsid w:val="0074389B"/>
    <w:rsid w:val="007A0FEF"/>
    <w:rsid w:val="007B37A5"/>
    <w:rsid w:val="007C527D"/>
    <w:rsid w:val="008145EA"/>
    <w:rsid w:val="00942E8C"/>
    <w:rsid w:val="00AA3FDA"/>
    <w:rsid w:val="00AD1CDF"/>
    <w:rsid w:val="00AE0DEC"/>
    <w:rsid w:val="00B745CA"/>
    <w:rsid w:val="00CC7A59"/>
    <w:rsid w:val="00D642B8"/>
    <w:rsid w:val="00DF7CB9"/>
    <w:rsid w:val="00E50490"/>
    <w:rsid w:val="00ED0DE2"/>
    <w:rsid w:val="00F907CF"/>
    <w:rsid w:val="01AE4235"/>
    <w:rsid w:val="02A227A1"/>
    <w:rsid w:val="03080B61"/>
    <w:rsid w:val="03563B33"/>
    <w:rsid w:val="0440411D"/>
    <w:rsid w:val="05681A7F"/>
    <w:rsid w:val="0A9D61C8"/>
    <w:rsid w:val="0EA051BA"/>
    <w:rsid w:val="138A58A4"/>
    <w:rsid w:val="150F3CC6"/>
    <w:rsid w:val="208E074D"/>
    <w:rsid w:val="237613B4"/>
    <w:rsid w:val="286D3246"/>
    <w:rsid w:val="29923A24"/>
    <w:rsid w:val="2A6D2193"/>
    <w:rsid w:val="3086532C"/>
    <w:rsid w:val="312F2C57"/>
    <w:rsid w:val="32FA6D13"/>
    <w:rsid w:val="33AA6B2F"/>
    <w:rsid w:val="33ED0900"/>
    <w:rsid w:val="380A3D4C"/>
    <w:rsid w:val="393873DF"/>
    <w:rsid w:val="3A1119C9"/>
    <w:rsid w:val="3E787172"/>
    <w:rsid w:val="48A04712"/>
    <w:rsid w:val="49251A80"/>
    <w:rsid w:val="4A210073"/>
    <w:rsid w:val="4D3568E9"/>
    <w:rsid w:val="4FAA6523"/>
    <w:rsid w:val="504F7091"/>
    <w:rsid w:val="50ED7D32"/>
    <w:rsid w:val="514222E7"/>
    <w:rsid w:val="53FB1129"/>
    <w:rsid w:val="545C3B2A"/>
    <w:rsid w:val="55AF412E"/>
    <w:rsid w:val="598B2FA3"/>
    <w:rsid w:val="59AA5310"/>
    <w:rsid w:val="59ED245E"/>
    <w:rsid w:val="5ABD429A"/>
    <w:rsid w:val="6A1869FB"/>
    <w:rsid w:val="6FF70753"/>
    <w:rsid w:val="71C823A7"/>
    <w:rsid w:val="7258328C"/>
    <w:rsid w:val="735E7188"/>
    <w:rsid w:val="7416564C"/>
    <w:rsid w:val="757A649A"/>
    <w:rsid w:val="76FD3A1F"/>
    <w:rsid w:val="7B883D9A"/>
    <w:rsid w:val="7CE17F9B"/>
    <w:rsid w:val="7E123328"/>
    <w:rsid w:val="7E66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60081A5-E9F0-47D4-A221-F0A0A7FF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qFormat/>
    <w:pPr>
      <w:ind w:firstLine="420"/>
    </w:pPr>
    <w:rPr>
      <w:rFonts w:ascii="Arial" w:hAnsi="Arial" w:cs="Arial"/>
      <w:szCs w:val="21"/>
    </w:rPr>
  </w:style>
  <w:style w:type="paragraph" w:styleId="a4">
    <w:name w:val="Body Text"/>
    <w:basedOn w:val="a"/>
    <w:next w:val="a"/>
    <w:qFormat/>
    <w:pPr>
      <w:spacing w:after="120"/>
    </w:pPr>
  </w:style>
  <w:style w:type="paragraph" w:styleId="a5">
    <w:name w:val="Body Text Indent"/>
    <w:basedOn w:val="a"/>
    <w:qFormat/>
    <w:pPr>
      <w:ind w:firstLine="630"/>
    </w:pPr>
    <w:rPr>
      <w:sz w:val="32"/>
      <w:szCs w:val="20"/>
    </w:rPr>
  </w:style>
  <w:style w:type="paragraph" w:styleId="a6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 First Indent"/>
    <w:basedOn w:val="a4"/>
    <w:qFormat/>
    <w:rPr>
      <w:rFonts w:hAnsi="宋体"/>
      <w:sz w:val="18"/>
      <w:szCs w:val="18"/>
    </w:rPr>
  </w:style>
  <w:style w:type="paragraph" w:customStyle="1" w:styleId="11">
    <w:name w:val="正文11"/>
    <w:next w:val="110"/>
    <w:qFormat/>
    <w:pPr>
      <w:widowControl w:val="0"/>
      <w:jc w:val="both"/>
    </w:pPr>
    <w:rPr>
      <w:rFonts w:ascii="Times New Roman" w:eastAsia="宋体" w:hAnsi="Times New Roman" w:cs="Times New Roman"/>
      <w:sz w:val="21"/>
      <w:szCs w:val="22"/>
    </w:rPr>
  </w:style>
  <w:style w:type="paragraph" w:customStyle="1" w:styleId="110">
    <w:name w:val="目录 11"/>
    <w:basedOn w:val="11"/>
    <w:next w:val="11"/>
    <w:qFormat/>
    <w:pPr>
      <w:tabs>
        <w:tab w:val="right" w:leader="dot" w:pos="9060"/>
      </w:tabs>
      <w:spacing w:line="360" w:lineRule="auto"/>
    </w:pPr>
    <w:rPr>
      <w:sz w:val="24"/>
      <w:szCs w:val="24"/>
    </w:rPr>
  </w:style>
  <w:style w:type="character" w:customStyle="1" w:styleId="Char0">
    <w:name w:val="页眉 Char"/>
    <w:basedOn w:val="a0"/>
    <w:link w:val="a7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6"/>
    <w:qFormat/>
    <w:rPr>
      <w:kern w:val="2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204</Words>
  <Characters>1164</Characters>
  <Application>Microsoft Office Word</Application>
  <DocSecurity>0</DocSecurity>
  <Lines>9</Lines>
  <Paragraphs>2</Paragraphs>
  <ScaleCrop>false</ScaleCrop>
  <Company>省政协办公厅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ChaCha</dc:creator>
  <cp:lastModifiedBy>Administrator</cp:lastModifiedBy>
  <cp:revision>10</cp:revision>
  <dcterms:created xsi:type="dcterms:W3CDTF">2023-01-30T09:36:00Z</dcterms:created>
  <dcterms:modified xsi:type="dcterms:W3CDTF">2023-02-17T04:27:00Z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64D4D879A5204B19B7ECC505FF2EAA76</vt:lpwstr>
  </property>
</Properties>
</file>