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B2" w:rsidRDefault="00143BB2">
      <w:pPr>
        <w:spacing w:before="163" w:after="163"/>
        <w:jc w:val="center"/>
        <w:rPr>
          <w:rFonts w:ascii="宋体" w:hAnsi="宋体"/>
          <w:b/>
          <w:color w:val="000000" w:themeColor="text1"/>
          <w:sz w:val="52"/>
          <w:szCs w:val="72"/>
        </w:rPr>
      </w:pPr>
    </w:p>
    <w:p w:rsidR="00143BB2" w:rsidRDefault="00143BB2">
      <w:pPr>
        <w:spacing w:before="163" w:after="163"/>
        <w:jc w:val="center"/>
        <w:rPr>
          <w:rFonts w:ascii="宋体" w:hAnsi="宋体"/>
          <w:b/>
          <w:color w:val="000000" w:themeColor="text1"/>
          <w:sz w:val="52"/>
          <w:szCs w:val="72"/>
        </w:rPr>
      </w:pPr>
    </w:p>
    <w:p w:rsidR="00143BB2" w:rsidRDefault="00143BB2">
      <w:pPr>
        <w:spacing w:before="163" w:after="163"/>
        <w:jc w:val="center"/>
        <w:rPr>
          <w:rFonts w:ascii="宋体" w:hAnsi="宋体"/>
          <w:b/>
          <w:color w:val="000000" w:themeColor="text1"/>
          <w:sz w:val="52"/>
          <w:szCs w:val="72"/>
        </w:rPr>
      </w:pPr>
    </w:p>
    <w:p w:rsidR="00143BB2" w:rsidRDefault="00AF0DD2">
      <w:pPr>
        <w:spacing w:before="163" w:after="163"/>
        <w:jc w:val="center"/>
        <w:rPr>
          <w:rFonts w:ascii="宋体" w:hAnsi="宋体"/>
          <w:b/>
          <w:color w:val="000000" w:themeColor="text1"/>
          <w:sz w:val="52"/>
          <w:szCs w:val="72"/>
        </w:rPr>
      </w:pPr>
      <w:r>
        <w:rPr>
          <w:rFonts w:ascii="宋体" w:hAnsi="宋体" w:hint="eastAsia"/>
          <w:b/>
          <w:color w:val="000000" w:themeColor="text1"/>
          <w:sz w:val="52"/>
          <w:szCs w:val="72"/>
        </w:rPr>
        <w:t>中山大学中山眼科中心</w:t>
      </w:r>
    </w:p>
    <w:p w:rsidR="00143BB2" w:rsidRDefault="00A27961">
      <w:pPr>
        <w:spacing w:before="163" w:after="163"/>
        <w:jc w:val="center"/>
        <w:rPr>
          <w:rFonts w:ascii="宋体" w:hAnsi="宋体"/>
          <w:b/>
          <w:color w:val="000000" w:themeColor="text1"/>
          <w:sz w:val="52"/>
          <w:szCs w:val="72"/>
        </w:rPr>
      </w:pPr>
      <w:r>
        <w:rPr>
          <w:rFonts w:ascii="宋体" w:hAnsi="宋体" w:hint="eastAsia"/>
          <w:b/>
          <w:color w:val="000000" w:themeColor="text1"/>
          <w:sz w:val="52"/>
          <w:szCs w:val="72"/>
        </w:rPr>
        <w:t>生物岛实验</w:t>
      </w:r>
      <w:r w:rsidR="00B46EAC">
        <w:rPr>
          <w:rFonts w:ascii="宋体" w:hAnsi="宋体" w:hint="eastAsia"/>
          <w:b/>
          <w:color w:val="000000" w:themeColor="text1"/>
          <w:sz w:val="52"/>
          <w:szCs w:val="72"/>
        </w:rPr>
        <w:t>楼</w:t>
      </w:r>
      <w:r w:rsidR="00AF0DD2">
        <w:rPr>
          <w:rFonts w:ascii="宋体" w:hAnsi="宋体" w:hint="eastAsia"/>
          <w:b/>
          <w:color w:val="000000" w:themeColor="text1"/>
          <w:sz w:val="52"/>
          <w:szCs w:val="72"/>
        </w:rPr>
        <w:t>办公区空气治理项目</w:t>
      </w:r>
    </w:p>
    <w:p w:rsidR="00143BB2" w:rsidRDefault="00143BB2">
      <w:pPr>
        <w:snapToGrid w:val="0"/>
        <w:spacing w:line="300" w:lineRule="auto"/>
        <w:jc w:val="center"/>
        <w:rPr>
          <w:rFonts w:ascii="宋体" w:hAnsi="宋体"/>
          <w:b/>
          <w:color w:val="000000" w:themeColor="text1"/>
          <w:sz w:val="52"/>
          <w:szCs w:val="72"/>
        </w:rPr>
      </w:pPr>
    </w:p>
    <w:p w:rsidR="00143BB2" w:rsidRDefault="00477E9B">
      <w:pPr>
        <w:snapToGrid w:val="0"/>
        <w:spacing w:line="300" w:lineRule="auto"/>
        <w:jc w:val="center"/>
        <w:rPr>
          <w:rFonts w:ascii="宋体" w:hAnsi="宋体"/>
          <w:b/>
          <w:bCs/>
          <w:color w:val="000000" w:themeColor="text1"/>
          <w:sz w:val="84"/>
          <w:szCs w:val="84"/>
        </w:rPr>
      </w:pPr>
      <w:r>
        <w:rPr>
          <w:rFonts w:ascii="宋体" w:hAnsi="宋体" w:hint="eastAsia"/>
          <w:b/>
          <w:bCs/>
          <w:color w:val="000000" w:themeColor="text1"/>
          <w:sz w:val="84"/>
          <w:szCs w:val="84"/>
        </w:rPr>
        <w:t>用户需求</w:t>
      </w:r>
      <w:r w:rsidR="00AF0DD2">
        <w:rPr>
          <w:rFonts w:ascii="宋体" w:hAnsi="宋体" w:hint="eastAsia"/>
          <w:b/>
          <w:bCs/>
          <w:color w:val="000000" w:themeColor="text1"/>
          <w:sz w:val="84"/>
          <w:szCs w:val="84"/>
        </w:rPr>
        <w:t>书</w:t>
      </w:r>
    </w:p>
    <w:p w:rsidR="00143BB2" w:rsidRDefault="00AF0DD2">
      <w:pPr>
        <w:tabs>
          <w:tab w:val="center" w:pos="4153"/>
          <w:tab w:val="left" w:pos="7350"/>
        </w:tabs>
        <w:snapToGrid w:val="0"/>
        <w:spacing w:line="300" w:lineRule="auto"/>
        <w:jc w:val="left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/>
          <w:b/>
          <w:bCs/>
          <w:sz w:val="48"/>
          <w:szCs w:val="84"/>
        </w:rPr>
        <w:tab/>
      </w:r>
      <w:r>
        <w:rPr>
          <w:rFonts w:ascii="宋体" w:hAnsi="宋体"/>
          <w:b/>
          <w:bCs/>
          <w:sz w:val="48"/>
          <w:szCs w:val="84"/>
        </w:rPr>
        <w:tab/>
      </w:r>
    </w:p>
    <w:p w:rsidR="00143BB2" w:rsidRDefault="00143BB2">
      <w:pPr>
        <w:snapToGrid w:val="0"/>
        <w:spacing w:line="300" w:lineRule="auto"/>
        <w:jc w:val="center"/>
        <w:rPr>
          <w:rFonts w:ascii="黑体"/>
          <w:b/>
          <w:bCs/>
          <w:color w:val="000000" w:themeColor="text1"/>
          <w:sz w:val="30"/>
          <w:szCs w:val="30"/>
        </w:rPr>
      </w:pPr>
    </w:p>
    <w:p w:rsidR="00143BB2" w:rsidRDefault="00143BB2">
      <w:pPr>
        <w:snapToGrid w:val="0"/>
        <w:spacing w:line="300" w:lineRule="auto"/>
        <w:ind w:firstLineChars="445" w:firstLine="1608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 w:rsidR="00143BB2" w:rsidRDefault="00143BB2">
      <w:pPr>
        <w:snapToGrid w:val="0"/>
        <w:spacing w:line="300" w:lineRule="auto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 w:rsidR="00143BB2" w:rsidRDefault="00143BB2">
      <w:pPr>
        <w:snapToGrid w:val="0"/>
        <w:spacing w:line="300" w:lineRule="auto"/>
        <w:jc w:val="left"/>
        <w:rPr>
          <w:rFonts w:ascii="宋体" w:hAnsi="宋体"/>
          <w:b/>
          <w:color w:val="000000" w:themeColor="text1"/>
          <w:spacing w:val="-8"/>
          <w:sz w:val="18"/>
          <w:szCs w:val="18"/>
        </w:rPr>
      </w:pPr>
    </w:p>
    <w:p w:rsidR="00143BB2" w:rsidRDefault="00143BB2">
      <w:pPr>
        <w:snapToGrid w:val="0"/>
        <w:spacing w:line="300" w:lineRule="auto"/>
        <w:jc w:val="left"/>
        <w:rPr>
          <w:rFonts w:ascii="宋体" w:hAnsi="宋体"/>
          <w:b/>
          <w:color w:val="000000" w:themeColor="text1"/>
          <w:spacing w:val="-8"/>
          <w:sz w:val="18"/>
          <w:szCs w:val="18"/>
        </w:rPr>
      </w:pPr>
    </w:p>
    <w:p w:rsidR="00143BB2" w:rsidRDefault="00143BB2">
      <w:pPr>
        <w:snapToGrid w:val="0"/>
        <w:spacing w:line="300" w:lineRule="auto"/>
        <w:rPr>
          <w:rFonts w:ascii="宋体" w:hAnsi="宋体"/>
          <w:b/>
          <w:bCs/>
          <w:color w:val="000000" w:themeColor="text1"/>
          <w:sz w:val="32"/>
          <w:szCs w:val="36"/>
        </w:rPr>
      </w:pPr>
    </w:p>
    <w:p w:rsidR="00143BB2" w:rsidRDefault="00143BB2">
      <w:pPr>
        <w:snapToGrid w:val="0"/>
        <w:spacing w:line="300" w:lineRule="auto"/>
        <w:rPr>
          <w:rFonts w:ascii="宋体" w:hAnsi="宋体"/>
          <w:color w:val="000000" w:themeColor="text1"/>
          <w:sz w:val="32"/>
          <w:szCs w:val="36"/>
        </w:rPr>
      </w:pPr>
    </w:p>
    <w:p w:rsidR="00143BB2" w:rsidRDefault="00AF0DD2">
      <w:pPr>
        <w:snapToGrid w:val="0"/>
        <w:spacing w:line="300" w:lineRule="auto"/>
        <w:jc w:val="center"/>
        <w:rPr>
          <w:rFonts w:ascii="楷体_GB2312"/>
          <w:color w:val="000000" w:themeColor="text1"/>
          <w:spacing w:val="36"/>
          <w:sz w:val="28"/>
          <w:szCs w:val="30"/>
        </w:rPr>
      </w:pPr>
      <w:r>
        <w:rPr>
          <w:rFonts w:ascii="宋体" w:hAnsi="宋体" w:hint="eastAsia"/>
          <w:color w:val="000000" w:themeColor="text1"/>
          <w:sz w:val="32"/>
          <w:szCs w:val="36"/>
        </w:rPr>
        <w:t>二〇二三年四月</w:t>
      </w:r>
    </w:p>
    <w:p w:rsidR="00143BB2" w:rsidRDefault="00AF0DD2">
      <w:pPr>
        <w:widowControl/>
        <w:jc w:val="left"/>
      </w:pPr>
      <w:r>
        <w:br w:type="page"/>
      </w:r>
    </w:p>
    <w:p w:rsidR="00143BB2" w:rsidRDefault="00AF0DD2">
      <w:pPr>
        <w:widowControl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目录</w:t>
      </w:r>
    </w:p>
    <w:p w:rsidR="00143BB2" w:rsidRDefault="00AF0DD2">
      <w:pPr>
        <w:pStyle w:val="20"/>
        <w:tabs>
          <w:tab w:val="clear" w:pos="1050"/>
          <w:tab w:val="clear" w:pos="8296"/>
          <w:tab w:val="right" w:leader="dot" w:pos="8306"/>
        </w:tabs>
      </w:pPr>
      <w:r>
        <w:rPr>
          <w:rFonts w:ascii="微软雅黑" w:eastAsia="微软雅黑" w:hAnsi="微软雅黑"/>
          <w:sz w:val="28"/>
          <w:szCs w:val="28"/>
        </w:rPr>
        <w:fldChar w:fldCharType="begin"/>
      </w:r>
      <w:r>
        <w:rPr>
          <w:rFonts w:ascii="微软雅黑" w:eastAsia="微软雅黑" w:hAnsi="微软雅黑"/>
          <w:sz w:val="28"/>
          <w:szCs w:val="28"/>
        </w:rPr>
        <w:instrText xml:space="preserve"> TOC \o "1-4" \h \z \u </w:instrText>
      </w:r>
      <w:r>
        <w:rPr>
          <w:rFonts w:ascii="微软雅黑" w:eastAsia="微软雅黑" w:hAnsi="微软雅黑"/>
          <w:sz w:val="28"/>
          <w:szCs w:val="28"/>
        </w:rPr>
        <w:fldChar w:fldCharType="separate"/>
      </w:r>
      <w:hyperlink w:anchor="_Toc25167" w:history="1">
        <w:r>
          <w:rPr>
            <w:rFonts w:asciiTheme="minorEastAsia" w:hAnsiTheme="minorEastAsia"/>
            <w:szCs w:val="24"/>
          </w:rPr>
          <w:t xml:space="preserve">一、 </w:t>
        </w:r>
        <w:r>
          <w:rPr>
            <w:rFonts w:asciiTheme="minorEastAsia" w:hAnsiTheme="minorEastAsia" w:hint="eastAsia"/>
            <w:szCs w:val="24"/>
          </w:rPr>
          <w:t>项目</w:t>
        </w:r>
        <w:r w:rsidR="00477E9B">
          <w:rPr>
            <w:rFonts w:asciiTheme="minorEastAsia" w:hAnsiTheme="minorEastAsia" w:hint="eastAsia"/>
            <w:szCs w:val="24"/>
          </w:rPr>
          <w:t>地址</w:t>
        </w:r>
        <w:r>
          <w:tab/>
        </w:r>
        <w:r>
          <w:fldChar w:fldCharType="begin"/>
        </w:r>
        <w:r>
          <w:instrText xml:space="preserve"> PAGEREF _Toc25167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143BB2" w:rsidRDefault="00EB4673">
      <w:pPr>
        <w:pStyle w:val="20"/>
        <w:tabs>
          <w:tab w:val="clear" w:pos="1050"/>
          <w:tab w:val="clear" w:pos="8296"/>
          <w:tab w:val="right" w:leader="dot" w:pos="8306"/>
        </w:tabs>
      </w:pPr>
      <w:hyperlink w:anchor="_Toc25723" w:history="1">
        <w:r w:rsidR="00AF0DD2">
          <w:rPr>
            <w:rFonts w:asciiTheme="minorEastAsia" w:hAnsiTheme="minorEastAsia"/>
            <w:bCs w:val="0"/>
            <w:szCs w:val="24"/>
            <w:lang w:val="zh-CN"/>
          </w:rPr>
          <w:t xml:space="preserve">二、 </w:t>
        </w:r>
        <w:r w:rsidR="00AF0DD2">
          <w:rPr>
            <w:rFonts w:asciiTheme="minorEastAsia" w:hAnsiTheme="minorEastAsia" w:hint="eastAsia"/>
            <w:bCs w:val="0"/>
            <w:szCs w:val="24"/>
            <w:lang w:val="zh-CN"/>
          </w:rPr>
          <w:t>需求简述</w:t>
        </w:r>
        <w:r w:rsidR="00AF0DD2">
          <w:tab/>
        </w:r>
        <w:r w:rsidR="00AF0DD2">
          <w:fldChar w:fldCharType="begin"/>
        </w:r>
        <w:r w:rsidR="00AF0DD2">
          <w:instrText xml:space="preserve"> PAGEREF _Toc25723 \h </w:instrText>
        </w:r>
        <w:r w:rsidR="00AF0DD2">
          <w:fldChar w:fldCharType="separate"/>
        </w:r>
        <w:r w:rsidR="00AF0DD2">
          <w:t>3</w:t>
        </w:r>
        <w:r w:rsidR="00AF0DD2">
          <w:fldChar w:fldCharType="end"/>
        </w:r>
      </w:hyperlink>
    </w:p>
    <w:p w:rsidR="00143BB2" w:rsidRDefault="00EB4673">
      <w:pPr>
        <w:pStyle w:val="20"/>
        <w:tabs>
          <w:tab w:val="clear" w:pos="1050"/>
          <w:tab w:val="clear" w:pos="8296"/>
          <w:tab w:val="right" w:leader="dot" w:pos="8306"/>
        </w:tabs>
      </w:pPr>
      <w:hyperlink w:anchor="_Toc21028" w:history="1">
        <w:r w:rsidR="00AF0DD2">
          <w:rPr>
            <w:rFonts w:asciiTheme="minorEastAsia" w:hAnsiTheme="minorEastAsia"/>
            <w:szCs w:val="24"/>
          </w:rPr>
          <w:t xml:space="preserve">三、 </w:t>
        </w:r>
        <w:r w:rsidR="00AF0DD2">
          <w:rPr>
            <w:rFonts w:asciiTheme="minorEastAsia" w:hAnsiTheme="minorEastAsia" w:hint="eastAsia"/>
            <w:szCs w:val="24"/>
          </w:rPr>
          <w:t>技术方案组成</w:t>
        </w:r>
        <w:r w:rsidR="00AF0DD2">
          <w:tab/>
        </w:r>
        <w:r w:rsidR="00AF0DD2">
          <w:fldChar w:fldCharType="begin"/>
        </w:r>
        <w:r w:rsidR="00AF0DD2">
          <w:instrText xml:space="preserve"> PAGEREF _Toc21028 \h </w:instrText>
        </w:r>
        <w:r w:rsidR="00AF0DD2">
          <w:fldChar w:fldCharType="separate"/>
        </w:r>
        <w:r w:rsidR="00AF0DD2">
          <w:t>4</w:t>
        </w:r>
        <w:r w:rsidR="00AF0DD2">
          <w:fldChar w:fldCharType="end"/>
        </w:r>
      </w:hyperlink>
    </w:p>
    <w:p w:rsidR="00143BB2" w:rsidRDefault="00EB4673">
      <w:pPr>
        <w:pStyle w:val="20"/>
        <w:tabs>
          <w:tab w:val="clear" w:pos="1050"/>
          <w:tab w:val="clear" w:pos="8296"/>
          <w:tab w:val="right" w:leader="dot" w:pos="8306"/>
        </w:tabs>
      </w:pPr>
      <w:hyperlink w:anchor="_Toc3022" w:history="1">
        <w:r w:rsidR="00AF0DD2">
          <w:rPr>
            <w:rFonts w:asciiTheme="minorEastAsia" w:hAnsiTheme="minorEastAsia"/>
            <w:szCs w:val="24"/>
          </w:rPr>
          <w:t xml:space="preserve">四、 </w:t>
        </w:r>
        <w:r w:rsidR="00AF0DD2">
          <w:rPr>
            <w:rFonts w:asciiTheme="minorEastAsia" w:hAnsiTheme="minorEastAsia" w:hint="eastAsia"/>
            <w:szCs w:val="24"/>
          </w:rPr>
          <w:t>产品配置原则</w:t>
        </w:r>
        <w:r w:rsidR="00AF0DD2">
          <w:tab/>
        </w:r>
        <w:r w:rsidR="00AF0DD2">
          <w:fldChar w:fldCharType="begin"/>
        </w:r>
        <w:r w:rsidR="00AF0DD2">
          <w:instrText xml:space="preserve"> PAGEREF _Toc3022 \h </w:instrText>
        </w:r>
        <w:r w:rsidR="00AF0DD2">
          <w:fldChar w:fldCharType="separate"/>
        </w:r>
        <w:r w:rsidR="00AF0DD2">
          <w:t>5</w:t>
        </w:r>
        <w:r w:rsidR="00AF0DD2">
          <w:fldChar w:fldCharType="end"/>
        </w:r>
      </w:hyperlink>
    </w:p>
    <w:p w:rsidR="00143BB2" w:rsidRDefault="00EB4673">
      <w:pPr>
        <w:pStyle w:val="20"/>
        <w:tabs>
          <w:tab w:val="clear" w:pos="1050"/>
          <w:tab w:val="clear" w:pos="8296"/>
          <w:tab w:val="right" w:leader="dot" w:pos="8306"/>
        </w:tabs>
      </w:pPr>
      <w:hyperlink w:anchor="_Toc31055" w:history="1">
        <w:r w:rsidR="00AF0DD2">
          <w:rPr>
            <w:rFonts w:asciiTheme="minorEastAsia" w:hAnsiTheme="minorEastAsia"/>
            <w:szCs w:val="24"/>
          </w:rPr>
          <w:t xml:space="preserve">五、 </w:t>
        </w:r>
        <w:r w:rsidR="00AF0DD2">
          <w:rPr>
            <w:rFonts w:asciiTheme="minorEastAsia" w:hAnsiTheme="minorEastAsia" w:hint="eastAsia"/>
            <w:szCs w:val="24"/>
          </w:rPr>
          <w:t>供应商要求</w:t>
        </w:r>
        <w:r w:rsidR="00AF0DD2">
          <w:tab/>
        </w:r>
        <w:r w:rsidR="00AF0DD2">
          <w:fldChar w:fldCharType="begin"/>
        </w:r>
        <w:r w:rsidR="00AF0DD2">
          <w:instrText xml:space="preserve"> PAGEREF _Toc31055 \h </w:instrText>
        </w:r>
        <w:r w:rsidR="00AF0DD2">
          <w:fldChar w:fldCharType="separate"/>
        </w:r>
        <w:r w:rsidR="00AF0DD2">
          <w:t>5</w:t>
        </w:r>
        <w:r w:rsidR="00AF0DD2">
          <w:fldChar w:fldCharType="end"/>
        </w:r>
      </w:hyperlink>
    </w:p>
    <w:p w:rsidR="00143BB2" w:rsidRDefault="00EB4673">
      <w:pPr>
        <w:pStyle w:val="20"/>
        <w:tabs>
          <w:tab w:val="clear" w:pos="1050"/>
          <w:tab w:val="clear" w:pos="8296"/>
          <w:tab w:val="right" w:leader="dot" w:pos="8306"/>
        </w:tabs>
      </w:pPr>
      <w:hyperlink w:anchor="_Toc14849" w:history="1">
        <w:r w:rsidR="00AF0DD2">
          <w:rPr>
            <w:rFonts w:asciiTheme="minorEastAsia" w:hAnsiTheme="minorEastAsia"/>
            <w:szCs w:val="24"/>
          </w:rPr>
          <w:t xml:space="preserve">六、 </w:t>
        </w:r>
        <w:r w:rsidR="00AF0DD2">
          <w:rPr>
            <w:rFonts w:asciiTheme="minorEastAsia" w:hAnsiTheme="minorEastAsia" w:hint="eastAsia"/>
            <w:szCs w:val="24"/>
          </w:rPr>
          <w:t>项目管理</w:t>
        </w:r>
        <w:r w:rsidR="00AF0DD2">
          <w:tab/>
        </w:r>
        <w:r w:rsidR="00AF0DD2">
          <w:fldChar w:fldCharType="begin"/>
        </w:r>
        <w:r w:rsidR="00AF0DD2">
          <w:instrText xml:space="preserve"> PAGEREF _Toc14849 \h </w:instrText>
        </w:r>
        <w:r w:rsidR="00AF0DD2">
          <w:fldChar w:fldCharType="separate"/>
        </w:r>
        <w:r w:rsidR="00AF0DD2">
          <w:t>5</w:t>
        </w:r>
        <w:r w:rsidR="00AF0DD2">
          <w:fldChar w:fldCharType="end"/>
        </w:r>
      </w:hyperlink>
    </w:p>
    <w:p w:rsidR="00143BB2" w:rsidRDefault="00AF0DD2">
      <w:pPr>
        <w:widowControl/>
        <w:jc w:val="left"/>
        <w:rPr>
          <w:rFonts w:asciiTheme="majorHAnsi" w:eastAsiaTheme="majorEastAsia" w:hAnsiTheme="majorHAnsi" w:cstheme="majorBidi"/>
          <w:b/>
          <w:bCs/>
          <w:kern w:val="44"/>
          <w:sz w:val="24"/>
          <w:szCs w:val="32"/>
        </w:rPr>
      </w:pPr>
      <w:r>
        <w:rPr>
          <w:rFonts w:ascii="微软雅黑" w:eastAsia="微软雅黑" w:hAnsi="微软雅黑"/>
          <w:szCs w:val="28"/>
        </w:rPr>
        <w:fldChar w:fldCharType="end"/>
      </w:r>
      <w:r>
        <w:br w:type="page"/>
      </w:r>
    </w:p>
    <w:p w:rsidR="00143BB2" w:rsidRDefault="00AF0DD2">
      <w:pPr>
        <w:pStyle w:val="2"/>
        <w:numPr>
          <w:ilvl w:val="0"/>
          <w:numId w:val="3"/>
        </w:numPr>
        <w:spacing w:line="276" w:lineRule="auto"/>
        <w:ind w:right="210"/>
        <w:rPr>
          <w:rFonts w:asciiTheme="minorEastAsia" w:eastAsiaTheme="minorEastAsia" w:hAnsiTheme="minorEastAsia"/>
          <w:szCs w:val="24"/>
        </w:rPr>
      </w:pPr>
      <w:bookmarkStart w:id="0" w:name="_Toc25167"/>
      <w:r>
        <w:rPr>
          <w:rFonts w:asciiTheme="minorEastAsia" w:eastAsiaTheme="minorEastAsia" w:hAnsiTheme="minorEastAsia" w:hint="eastAsia"/>
          <w:szCs w:val="24"/>
        </w:rPr>
        <w:lastRenderedPageBreak/>
        <w:t>项目</w:t>
      </w:r>
      <w:bookmarkEnd w:id="0"/>
      <w:r w:rsidR="00477E9B">
        <w:rPr>
          <w:rFonts w:asciiTheme="minorEastAsia" w:eastAsiaTheme="minorEastAsia" w:hAnsiTheme="minorEastAsia" w:hint="eastAsia"/>
          <w:szCs w:val="24"/>
        </w:rPr>
        <w:t>地址</w:t>
      </w:r>
    </w:p>
    <w:p w:rsidR="00143BB2" w:rsidRDefault="00AF0DD2">
      <w:pPr>
        <w:spacing w:line="276" w:lineRule="auto"/>
        <w:ind w:firstLine="420"/>
        <w:rPr>
          <w:rFonts w:asciiTheme="minorEastAsia" w:hAnsi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中山大学中山眼科中心</w:t>
      </w:r>
      <w:r w:rsidR="00477E9B"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生物岛实验楼位于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广州市海珠区</w:t>
      </w:r>
      <w:r w:rsidR="00477E9B">
        <w:rPr>
          <w:rFonts w:asciiTheme="minorEastAsia" w:hAnsiTheme="minorEastAsia" w:hint="eastAsia"/>
          <w:color w:val="000000" w:themeColor="text1"/>
          <w:sz w:val="24"/>
          <w:szCs w:val="24"/>
        </w:rPr>
        <w:t>国际生物岛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螺旋大道G栋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新</w:t>
      </w:r>
      <w:r w:rsidR="00477E9B"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实验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办公大楼</w:t>
      </w:r>
      <w:r w:rsidR="00477E9B"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项目建筑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为7层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。</w:t>
      </w:r>
    </w:p>
    <w:p w:rsidR="00143BB2" w:rsidRDefault="00AF0DD2">
      <w:pPr>
        <w:pStyle w:val="2"/>
        <w:numPr>
          <w:ilvl w:val="0"/>
          <w:numId w:val="3"/>
        </w:numPr>
        <w:spacing w:line="276" w:lineRule="auto"/>
        <w:ind w:right="210"/>
        <w:rPr>
          <w:rFonts w:asciiTheme="minorEastAsia" w:eastAsiaTheme="minorEastAsia" w:hAnsiTheme="minorEastAsia" w:cstheme="minorBidi"/>
          <w:b w:val="0"/>
          <w:bCs w:val="0"/>
          <w:color w:val="000000" w:themeColor="text1"/>
          <w:kern w:val="2"/>
          <w:szCs w:val="24"/>
          <w:lang w:val="zh-CN"/>
        </w:rPr>
      </w:pPr>
      <w:bookmarkStart w:id="1" w:name="_Toc25723"/>
      <w:bookmarkStart w:id="2" w:name="_Toc39959724"/>
      <w:bookmarkStart w:id="3" w:name="_Toc39959721"/>
      <w:r>
        <w:rPr>
          <w:rFonts w:asciiTheme="minorEastAsia" w:eastAsiaTheme="minorEastAsia" w:hAnsiTheme="minorEastAsia" w:cstheme="minorBidi" w:hint="eastAsia"/>
          <w:b w:val="0"/>
          <w:bCs w:val="0"/>
          <w:color w:val="000000" w:themeColor="text1"/>
          <w:kern w:val="2"/>
          <w:szCs w:val="24"/>
          <w:lang w:val="zh-CN"/>
        </w:rPr>
        <w:t>需求简述</w:t>
      </w:r>
      <w:bookmarkEnd w:id="1"/>
    </w:p>
    <w:p w:rsidR="00143BB2" w:rsidRDefault="00AF0DD2">
      <w:pPr>
        <w:pStyle w:val="11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</w:rPr>
        <w:t>因新装修办公区和实验区职场残留室内有害气体甲醛、苯系物、TVOC等有害气体及装修异味，</w:t>
      </w:r>
      <w:r>
        <w:rPr>
          <w:rFonts w:asciiTheme="minorEastAsia" w:hAnsiTheme="minorEastAsia" w:hint="eastAsia"/>
          <w:sz w:val="24"/>
          <w:szCs w:val="24"/>
          <w:lang w:val="zh-CN"/>
        </w:rPr>
        <w:t>服务需求为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空气治理</w:t>
      </w:r>
      <w:r>
        <w:rPr>
          <w:rFonts w:asciiTheme="minorEastAsia" w:hAnsiTheme="minorEastAsia" w:hint="eastAsia"/>
          <w:sz w:val="24"/>
          <w:szCs w:val="24"/>
          <w:lang w:val="zh-CN"/>
        </w:rPr>
        <w:t>服务项目，通过高效去除室内空气中的甲醛、</w:t>
      </w:r>
      <w:r>
        <w:rPr>
          <w:rFonts w:asciiTheme="minorEastAsia" w:hAnsiTheme="minorEastAsia" w:hint="eastAsia"/>
          <w:sz w:val="24"/>
          <w:szCs w:val="24"/>
        </w:rPr>
        <w:t>装修异味</w:t>
      </w:r>
      <w:r>
        <w:rPr>
          <w:rFonts w:asciiTheme="minorEastAsia" w:hAnsiTheme="minorEastAsia" w:hint="eastAsia"/>
          <w:sz w:val="24"/>
          <w:szCs w:val="24"/>
          <w:lang w:val="zh-CN"/>
        </w:rPr>
        <w:t>等有害物质，进行空气净化治理，全面提高室内空气质量，为现代化安全生活办公环境提供有力保障。</w:t>
      </w:r>
    </w:p>
    <w:p w:rsidR="00143BB2" w:rsidRDefault="00AF0DD2">
      <w:pPr>
        <w:pStyle w:val="11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供应商（以下简称“乙方”）包工、包料、包设备</w:t>
      </w:r>
    </w:p>
    <w:p w:rsidR="00143BB2" w:rsidRDefault="00AF0DD2">
      <w:pPr>
        <w:pStyle w:val="11"/>
        <w:spacing w:line="276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即乙方提供所需工具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设备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耗材物料及技术</w:t>
      </w:r>
      <w:r>
        <w:rPr>
          <w:rFonts w:asciiTheme="minorEastAsia" w:hAnsiTheme="minorEastAsia" w:hint="eastAsia"/>
          <w:sz w:val="24"/>
          <w:szCs w:val="24"/>
        </w:rPr>
        <w:t>。甲方不额外提供任何材料、设备。</w:t>
      </w:r>
    </w:p>
    <w:p w:rsidR="00143BB2" w:rsidRDefault="00AF0DD2">
      <w:pPr>
        <w:pStyle w:val="11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服务日期</w:t>
      </w:r>
    </w:p>
    <w:p w:rsidR="00143BB2" w:rsidRDefault="00AF0DD2">
      <w:pPr>
        <w:pStyle w:val="11"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分为</w:t>
      </w:r>
      <w:r w:rsidR="00477E9B">
        <w:rPr>
          <w:rFonts w:asciiTheme="minorEastAsia" w:hAnsiTheme="minorEastAsia" w:hint="eastAsia"/>
          <w:color w:val="000000" w:themeColor="text1"/>
          <w:sz w:val="24"/>
          <w:szCs w:val="24"/>
        </w:rPr>
        <w:t>五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批治理工程，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具体时间以书面通知为准</w:t>
      </w:r>
    </w:p>
    <w:p w:rsidR="00143BB2" w:rsidRDefault="00AF0DD2">
      <w:pPr>
        <w:pStyle w:val="11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室内面积概况</w:t>
      </w:r>
    </w:p>
    <w:p w:rsidR="00143BB2" w:rsidRDefault="00477E9B">
      <w:pPr>
        <w:pStyle w:val="11"/>
        <w:numPr>
          <w:ilvl w:val="0"/>
          <w:numId w:val="6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办公面积：约</w:t>
      </w:r>
      <w:r>
        <w:rPr>
          <w:rFonts w:asciiTheme="minorEastAsia" w:hAnsiTheme="minorEastAsia"/>
          <w:sz w:val="24"/>
          <w:szCs w:val="24"/>
        </w:rPr>
        <w:t>60</w:t>
      </w:r>
      <w:r w:rsidR="00AF0DD2">
        <w:rPr>
          <w:rFonts w:asciiTheme="minorEastAsia" w:hAnsiTheme="minorEastAsia" w:hint="eastAsia"/>
          <w:sz w:val="24"/>
          <w:szCs w:val="24"/>
        </w:rPr>
        <w:t>00平方米</w:t>
      </w:r>
    </w:p>
    <w:p w:rsidR="00143BB2" w:rsidRDefault="00AF0DD2">
      <w:pPr>
        <w:pStyle w:val="11"/>
        <w:numPr>
          <w:ilvl w:val="0"/>
          <w:numId w:val="6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室内楼层布局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143BB2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楼层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区域/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设备</w:t>
            </w:r>
          </w:p>
        </w:tc>
      </w:tr>
      <w:tr w:rsidR="00143BB2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走道、会议室、茶水间、文印室、储物室、网络配线间、机房、体验中心、接待区、、文件柜、办公桌椅、货架、家电等。</w:t>
            </w:r>
          </w:p>
        </w:tc>
      </w:tr>
      <w:tr w:rsidR="00143BB2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走道、办公室、实验区、会议室、茶水间、文印室、储物室、网络配线间、机房、休息区、员工卡座、文件柜、办公桌椅、货架、家电等。</w:t>
            </w:r>
          </w:p>
        </w:tc>
      </w:tr>
      <w:tr w:rsidR="00143BB2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走道、办公室、会议室、实验区、茶水间、文印室、储物室、网络配线间、机房、休息区、员工卡座、文件柜、办公桌椅、货架、家电等。</w:t>
            </w:r>
          </w:p>
        </w:tc>
      </w:tr>
      <w:tr w:rsidR="00143BB2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走道、办公室、会议室、实验区、茶水间、文印室、储物室、网络配线间、机房、休息区、员工卡座、文件柜、办公桌椅、货架、家电等。</w:t>
            </w:r>
          </w:p>
        </w:tc>
      </w:tr>
      <w:tr w:rsidR="00143BB2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走道、实验区、茶水间、文印室、储物室、网络配线间、机房、休息区、货架、家电等。</w:t>
            </w:r>
          </w:p>
        </w:tc>
      </w:tr>
      <w:tr w:rsidR="00143BB2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走道、实验区、茶水间、文印室、储物室、网络配线间、机房、休息区、货架、家电等。</w:t>
            </w:r>
          </w:p>
        </w:tc>
      </w:tr>
      <w:tr w:rsidR="00143BB2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走道、实验区、茶水间、文印室、储物室、网络配线间、机房、休息区、货架、家电等。</w:t>
            </w:r>
          </w:p>
        </w:tc>
      </w:tr>
    </w:tbl>
    <w:p w:rsidR="00143BB2" w:rsidRDefault="00143BB2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43BB2" w:rsidRDefault="00143BB2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143BB2" w:rsidRDefault="00AF0DD2">
      <w:pPr>
        <w:pStyle w:val="2"/>
        <w:numPr>
          <w:ilvl w:val="0"/>
          <w:numId w:val="3"/>
        </w:numPr>
        <w:spacing w:line="276" w:lineRule="auto"/>
        <w:ind w:right="210"/>
        <w:rPr>
          <w:rFonts w:asciiTheme="minorEastAsia" w:eastAsiaTheme="minorEastAsia" w:hAnsiTheme="minorEastAsia"/>
          <w:szCs w:val="24"/>
        </w:rPr>
      </w:pPr>
      <w:bookmarkStart w:id="4" w:name="_Toc21028"/>
      <w:r>
        <w:rPr>
          <w:rFonts w:asciiTheme="minorEastAsia" w:eastAsiaTheme="minorEastAsia" w:hAnsiTheme="minorEastAsia" w:hint="eastAsia"/>
          <w:szCs w:val="24"/>
        </w:rPr>
        <w:t>技术方案组成</w:t>
      </w:r>
      <w:bookmarkEnd w:id="4"/>
    </w:p>
    <w:p w:rsidR="00143BB2" w:rsidRDefault="00AF0DD2">
      <w:pPr>
        <w:pStyle w:val="11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概述：技术方案中应包含治理方法、治理工艺；项目进度；设施设备；人员配置；质量监控；后勤保障（配合防疫条件）措施；安全、环境保护；文明</w:t>
      </w:r>
      <w:r>
        <w:rPr>
          <w:rFonts w:asciiTheme="minorEastAsia" w:hAnsiTheme="minorEastAsia" w:hint="eastAsia"/>
          <w:sz w:val="24"/>
          <w:szCs w:val="24"/>
        </w:rPr>
        <w:lastRenderedPageBreak/>
        <w:t>施工控制措施；拟采取的主要药剂等内容。</w:t>
      </w:r>
    </w:p>
    <w:p w:rsidR="00143BB2" w:rsidRDefault="00AF0DD2">
      <w:pPr>
        <w:pStyle w:val="11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标准部分</w:t>
      </w:r>
    </w:p>
    <w:p w:rsidR="00143BB2" w:rsidRDefault="00AF0DD2">
      <w:pPr>
        <w:pStyle w:val="11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项目服务计划</w:t>
      </w:r>
    </w:p>
    <w:p w:rsidR="00143BB2" w:rsidRDefault="00AF0DD2">
      <w:pPr>
        <w:pStyle w:val="11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服务人员团队架构</w:t>
      </w:r>
    </w:p>
    <w:p w:rsidR="00143BB2" w:rsidRDefault="00AF0DD2">
      <w:pPr>
        <w:pStyle w:val="11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售后服务承诺及相应内容，质保期为自验收合格之日起3年。</w:t>
      </w:r>
    </w:p>
    <w:p w:rsidR="00143BB2" w:rsidRDefault="00AF0DD2">
      <w:pPr>
        <w:pStyle w:val="11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近2年同类项目信息名称，经验，提供至少3个服务项目的证明材料，例如合同关键页、中标通知书或其他证明文件，以证明其业绩的真实性。</w:t>
      </w:r>
    </w:p>
    <w:p w:rsidR="00143BB2" w:rsidRDefault="00AF0DD2">
      <w:pPr>
        <w:pStyle w:val="11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技术方案要求</w:t>
      </w:r>
    </w:p>
    <w:p w:rsidR="00143BB2" w:rsidRDefault="00AF0DD2">
      <w:pPr>
        <w:pStyle w:val="11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技术措施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治理技术：综合治理方案，对室内家具、墙面、天花、地毯、窗帘等进行全方位、立体式的专业治理；</w:t>
      </w:r>
    </w:p>
    <w:p w:rsidR="00143BB2" w:rsidRDefault="00AF0DD2">
      <w:pPr>
        <w:pStyle w:val="11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材料及设备清单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光触媒及治理服务产品要求绿色、环保、安全。</w:t>
      </w:r>
    </w:p>
    <w:p w:rsidR="00143BB2" w:rsidRDefault="00AF0DD2">
      <w:pPr>
        <w:pStyle w:val="11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提供企业宣导方案。</w:t>
      </w:r>
    </w:p>
    <w:p w:rsidR="00143BB2" w:rsidRDefault="00AF0DD2">
      <w:pPr>
        <w:pStyle w:val="11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验收标准：</w:t>
      </w:r>
    </w:p>
    <w:p w:rsidR="00143BB2" w:rsidRDefault="00AF0DD2">
      <w:pPr>
        <w:pStyle w:val="11"/>
        <w:numPr>
          <w:ilvl w:val="0"/>
          <w:numId w:val="10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治理完成后，按照国家标准《民用建筑工程室内环境污染控制标准》(GB50325-2020)进行采样和检测验收，空气质量验收标准参考《民用建筑工程室内环境污染控制标准》(GB50325-2020)规定中Ⅰ/Ⅱ类民用建筑工程标准。</w:t>
      </w:r>
    </w:p>
    <w:p w:rsidR="00143BB2" w:rsidRDefault="00AF0DD2">
      <w:pPr>
        <w:pStyle w:val="11"/>
        <w:numPr>
          <w:ilvl w:val="0"/>
          <w:numId w:val="10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治理结束后由治理方组织负责组织检测和复检，检测点位数计划为35个（以最终的检测采样方案为准），以服务完成10天内做检测。如所治理的项目不符合上述标准，凭检验报告，中标人须在10天内完成重新治理。</w:t>
      </w:r>
      <w:bookmarkEnd w:id="2"/>
    </w:p>
    <w:p w:rsidR="00143BB2" w:rsidRDefault="00AF0DD2">
      <w:pPr>
        <w:pStyle w:val="11"/>
        <w:numPr>
          <w:ilvl w:val="0"/>
          <w:numId w:val="10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空气质量的验收标准及检测点位标准</w:t>
      </w:r>
    </w:p>
    <w:tbl>
      <w:tblPr>
        <w:tblW w:w="80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4714"/>
      </w:tblGrid>
      <w:tr w:rsidR="00143BB2">
        <w:trPr>
          <w:trHeight w:val="318"/>
        </w:trPr>
        <w:tc>
          <w:tcPr>
            <w:tcW w:w="3336" w:type="dxa"/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房间使用面积（㎡）</w:t>
            </w:r>
          </w:p>
        </w:tc>
        <w:tc>
          <w:tcPr>
            <w:tcW w:w="4714" w:type="dxa"/>
            <w:shd w:val="clear" w:color="auto" w:fill="auto"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检测点数</w:t>
            </w:r>
          </w:p>
        </w:tc>
      </w:tr>
      <w:tr w:rsidR="00143BB2">
        <w:trPr>
          <w:trHeight w:val="318"/>
        </w:trPr>
        <w:tc>
          <w:tcPr>
            <w:tcW w:w="3336" w:type="dxa"/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＜50㎡</w:t>
            </w:r>
          </w:p>
        </w:tc>
        <w:tc>
          <w:tcPr>
            <w:tcW w:w="4714" w:type="dxa"/>
            <w:shd w:val="clear" w:color="auto" w:fill="auto"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</w:t>
            </w:r>
          </w:p>
        </w:tc>
      </w:tr>
      <w:tr w:rsidR="00143BB2">
        <w:trPr>
          <w:trHeight w:val="318"/>
        </w:trPr>
        <w:tc>
          <w:tcPr>
            <w:tcW w:w="3336" w:type="dxa"/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50㎡≥，＜100㎡</w:t>
            </w:r>
          </w:p>
        </w:tc>
        <w:tc>
          <w:tcPr>
            <w:tcW w:w="4714" w:type="dxa"/>
            <w:shd w:val="clear" w:color="auto" w:fill="auto"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</w:t>
            </w:r>
          </w:p>
        </w:tc>
      </w:tr>
      <w:tr w:rsidR="00143BB2">
        <w:trPr>
          <w:trHeight w:val="318"/>
        </w:trPr>
        <w:tc>
          <w:tcPr>
            <w:tcW w:w="3336" w:type="dxa"/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100㎡≥，＜500㎡</w:t>
            </w:r>
          </w:p>
        </w:tc>
        <w:tc>
          <w:tcPr>
            <w:tcW w:w="4714" w:type="dxa"/>
            <w:shd w:val="clear" w:color="auto" w:fill="auto"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不少于3个</w:t>
            </w:r>
          </w:p>
        </w:tc>
      </w:tr>
      <w:tr w:rsidR="00143BB2">
        <w:trPr>
          <w:trHeight w:val="318"/>
        </w:trPr>
        <w:tc>
          <w:tcPr>
            <w:tcW w:w="3336" w:type="dxa"/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500㎡≥，＜1000㎡</w:t>
            </w:r>
          </w:p>
        </w:tc>
        <w:tc>
          <w:tcPr>
            <w:tcW w:w="4714" w:type="dxa"/>
            <w:shd w:val="clear" w:color="auto" w:fill="auto"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不少于5个</w:t>
            </w:r>
          </w:p>
        </w:tc>
      </w:tr>
      <w:tr w:rsidR="00143BB2">
        <w:trPr>
          <w:trHeight w:val="503"/>
        </w:trPr>
        <w:tc>
          <w:tcPr>
            <w:tcW w:w="3336" w:type="dxa"/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≥1000㎡</w:t>
            </w:r>
          </w:p>
        </w:tc>
        <w:tc>
          <w:tcPr>
            <w:tcW w:w="4714" w:type="dxa"/>
            <w:shd w:val="clear" w:color="auto" w:fill="auto"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超过1000㎡的部分，每增加1000，增设1个</w:t>
            </w:r>
          </w:p>
        </w:tc>
      </w:tr>
    </w:tbl>
    <w:p w:rsidR="00143BB2" w:rsidRDefault="00143BB2">
      <w:pPr>
        <w:pStyle w:val="11"/>
        <w:spacing w:line="276" w:lineRule="auto"/>
        <w:ind w:left="845"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W w:w="7989" w:type="dxa"/>
        <w:tblInd w:w="113" w:type="dxa"/>
        <w:tblLook w:val="04A0" w:firstRow="1" w:lastRow="0" w:firstColumn="1" w:lastColumn="0" w:noHBand="0" w:noVBand="1"/>
      </w:tblPr>
      <w:tblGrid>
        <w:gridCol w:w="2134"/>
        <w:gridCol w:w="3151"/>
        <w:gridCol w:w="2704"/>
      </w:tblGrid>
      <w:tr w:rsidR="00143BB2">
        <w:trPr>
          <w:trHeight w:val="535"/>
        </w:trPr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验收标准</w:t>
            </w:r>
          </w:p>
        </w:tc>
      </w:tr>
      <w:tr w:rsidR="00143BB2">
        <w:trPr>
          <w:trHeight w:val="84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执行标准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民用建筑工程室内环境污染控制标准（GB50325-2020）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项目验收标准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污染物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室内空气质量标准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室内空气质量标准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甲醛（mg/m³）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≤0.08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≤0.08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氨（mg/m³）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≤0.20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苯（mg/m³）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≤0.09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≤0.09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甲苯（mg/m³）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≤0.20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二甲苯（mg/m³）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≤0.20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TVOC（mg/m³）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≤0.50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≤0.50</w:t>
            </w:r>
          </w:p>
        </w:tc>
      </w:tr>
      <w:tr w:rsidR="00143BB2">
        <w:trPr>
          <w:trHeight w:val="53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质保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B2" w:rsidRDefault="00AF0D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3年起</w:t>
            </w:r>
          </w:p>
        </w:tc>
      </w:tr>
    </w:tbl>
    <w:p w:rsidR="00143BB2" w:rsidRDefault="00143BB2">
      <w:pPr>
        <w:pStyle w:val="11"/>
        <w:spacing w:line="276" w:lineRule="auto"/>
        <w:ind w:left="845" w:firstLineChars="0" w:firstLine="0"/>
        <w:rPr>
          <w:rFonts w:asciiTheme="minorEastAsia" w:hAnsiTheme="minorEastAsia"/>
          <w:sz w:val="24"/>
          <w:szCs w:val="24"/>
        </w:rPr>
      </w:pPr>
    </w:p>
    <w:p w:rsidR="00143BB2" w:rsidRDefault="00AF0DD2">
      <w:pPr>
        <w:pStyle w:val="2"/>
        <w:numPr>
          <w:ilvl w:val="0"/>
          <w:numId w:val="3"/>
        </w:numPr>
        <w:spacing w:line="276" w:lineRule="auto"/>
        <w:ind w:right="210"/>
        <w:rPr>
          <w:rFonts w:asciiTheme="minorEastAsia" w:eastAsiaTheme="minorEastAsia" w:hAnsiTheme="minorEastAsia"/>
          <w:szCs w:val="24"/>
        </w:rPr>
      </w:pPr>
      <w:bookmarkStart w:id="5" w:name="_Toc3022"/>
      <w:r>
        <w:rPr>
          <w:rFonts w:asciiTheme="minorEastAsia" w:eastAsiaTheme="minorEastAsia" w:hAnsiTheme="minorEastAsia" w:hint="eastAsia"/>
          <w:szCs w:val="24"/>
        </w:rPr>
        <w:t>产品配置原则</w:t>
      </w:r>
      <w:bookmarkEnd w:id="5"/>
    </w:p>
    <w:p w:rsidR="00143BB2" w:rsidRDefault="00AF0DD2">
      <w:pPr>
        <w:numPr>
          <w:ilvl w:val="0"/>
          <w:numId w:val="11"/>
        </w:numPr>
        <w:adjustRightInd w:val="0"/>
        <w:snapToGrid w:val="0"/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安全性与可靠性</w:t>
      </w:r>
      <w:r>
        <w:rPr>
          <w:rFonts w:asciiTheme="minorEastAsia" w:hAnsiTheme="minorEastAsia"/>
          <w:color w:val="000000" w:themeColor="text1"/>
          <w:sz w:val="24"/>
          <w:szCs w:val="24"/>
          <w:lang w:val="zh-CN"/>
        </w:rPr>
        <w:t>，环保健康：使用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符合国家室内环境环保安全标准的材料及产品</w:t>
      </w:r>
    </w:p>
    <w:p w:rsidR="00143BB2" w:rsidRDefault="00AF0DD2">
      <w:pPr>
        <w:numPr>
          <w:ilvl w:val="0"/>
          <w:numId w:val="11"/>
        </w:numPr>
        <w:adjustRightInd w:val="0"/>
        <w:snapToGrid w:val="0"/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经济型，维护管理成本合理控制</w:t>
      </w:r>
      <w:r>
        <w:rPr>
          <w:rFonts w:asciiTheme="minorEastAsia" w:hAnsiTheme="minorEastAsia"/>
          <w:color w:val="000000" w:themeColor="text1"/>
          <w:sz w:val="24"/>
          <w:szCs w:val="24"/>
          <w:lang w:val="zh-CN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zh-CN"/>
        </w:rPr>
        <w:t>可靠和高性价比的前提下，通过优化设计达到最经济性的目标。</w:t>
      </w:r>
      <w:bookmarkEnd w:id="3"/>
    </w:p>
    <w:p w:rsidR="00143BB2" w:rsidRDefault="00AF0DD2">
      <w:pPr>
        <w:pStyle w:val="2"/>
        <w:numPr>
          <w:ilvl w:val="0"/>
          <w:numId w:val="3"/>
        </w:numPr>
        <w:spacing w:line="276" w:lineRule="auto"/>
        <w:ind w:right="210"/>
        <w:rPr>
          <w:rFonts w:asciiTheme="minorEastAsia" w:eastAsiaTheme="minorEastAsia" w:hAnsiTheme="minorEastAsia"/>
          <w:szCs w:val="24"/>
        </w:rPr>
      </w:pPr>
      <w:bookmarkStart w:id="6" w:name="_Toc31055"/>
      <w:r>
        <w:rPr>
          <w:rFonts w:asciiTheme="minorEastAsia" w:eastAsiaTheme="minorEastAsia" w:hAnsiTheme="minorEastAsia" w:hint="eastAsia"/>
          <w:szCs w:val="24"/>
        </w:rPr>
        <w:t>供应商要求</w:t>
      </w:r>
      <w:bookmarkEnd w:id="6"/>
    </w:p>
    <w:p w:rsidR="00143BB2" w:rsidRDefault="00AF0DD2">
      <w:pPr>
        <w:numPr>
          <w:ilvl w:val="0"/>
          <w:numId w:val="12"/>
        </w:num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hint="eastAsia"/>
          <w:sz w:val="24"/>
          <w:szCs w:val="24"/>
        </w:rPr>
        <w:t>企业</w:t>
      </w:r>
      <w:r>
        <w:rPr>
          <w:rFonts w:ascii="Arial" w:hAnsi="Arial" w:cs="Arial" w:hint="eastAsia"/>
          <w:sz w:val="24"/>
          <w:szCs w:val="24"/>
        </w:rPr>
        <w:t>荣誉资质；</w:t>
      </w:r>
    </w:p>
    <w:p w:rsidR="00143BB2" w:rsidRDefault="00AF0DD2">
      <w:pPr>
        <w:numPr>
          <w:ilvl w:val="0"/>
          <w:numId w:val="12"/>
        </w:num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服务人员团队架构；</w:t>
      </w:r>
    </w:p>
    <w:p w:rsidR="00143BB2" w:rsidRDefault="00AF0DD2">
      <w:p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针对</w:t>
      </w:r>
      <w:r w:rsidR="00656C19">
        <w:rPr>
          <w:rFonts w:ascii="Arial" w:hAnsi="Arial" w:cs="Arial" w:hint="eastAsia"/>
          <w:sz w:val="24"/>
          <w:szCs w:val="24"/>
        </w:rPr>
        <w:t>甲方</w:t>
      </w:r>
      <w:bookmarkStart w:id="7" w:name="_GoBack"/>
      <w:bookmarkEnd w:id="7"/>
      <w:r>
        <w:rPr>
          <w:rFonts w:ascii="Arial" w:hAnsi="Arial" w:cs="Arial" w:hint="eastAsia"/>
          <w:sz w:val="24"/>
          <w:szCs w:val="24"/>
        </w:rPr>
        <w:t>搬迁规模及要求规划时间进度表；</w:t>
      </w:r>
    </w:p>
    <w:p w:rsidR="00143BB2" w:rsidRDefault="00AF0DD2">
      <w:p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4. </w:t>
      </w:r>
      <w:r>
        <w:rPr>
          <w:rFonts w:ascii="Arial" w:hAnsi="Arial" w:cs="Arial" w:hint="eastAsia"/>
          <w:sz w:val="24"/>
          <w:szCs w:val="24"/>
        </w:rPr>
        <w:t>办公点场地保护措施；</w:t>
      </w:r>
    </w:p>
    <w:p w:rsidR="00143BB2" w:rsidRDefault="00AF0DD2">
      <w:p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5. </w:t>
      </w:r>
      <w:r>
        <w:rPr>
          <w:rFonts w:ascii="Arial" w:hAnsi="Arial" w:cs="Arial" w:hint="eastAsia"/>
          <w:sz w:val="24"/>
          <w:szCs w:val="24"/>
        </w:rPr>
        <w:t>治理与实施标准；</w:t>
      </w:r>
    </w:p>
    <w:p w:rsidR="00143BB2" w:rsidRDefault="00AF0DD2">
      <w:p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 w:hint="eastAsia"/>
          <w:sz w:val="24"/>
          <w:szCs w:val="24"/>
        </w:rPr>
        <w:t>提供室内空气质量标准验收标准数据的响应方案。</w:t>
      </w:r>
    </w:p>
    <w:p w:rsidR="00143BB2" w:rsidRDefault="00AF0DD2">
      <w:p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 w:hint="eastAsia"/>
          <w:sz w:val="24"/>
          <w:szCs w:val="24"/>
        </w:rPr>
        <w:t>项目难点分析及解决方案理；</w:t>
      </w:r>
    </w:p>
    <w:p w:rsidR="00143BB2" w:rsidRDefault="00AF0DD2">
      <w:pPr>
        <w:autoSpaceDE w:val="0"/>
        <w:autoSpaceDN w:val="0"/>
        <w:snapToGrid w:val="0"/>
        <w:spacing w:line="276" w:lineRule="auto"/>
        <w:ind w:left="709" w:right="29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售后保障；</w:t>
      </w:r>
    </w:p>
    <w:p w:rsidR="00143BB2" w:rsidRDefault="00143BB2"/>
    <w:p w:rsidR="00143BB2" w:rsidRDefault="00AF0DD2">
      <w:pPr>
        <w:pStyle w:val="2"/>
        <w:numPr>
          <w:ilvl w:val="0"/>
          <w:numId w:val="3"/>
        </w:numPr>
        <w:spacing w:line="276" w:lineRule="auto"/>
        <w:ind w:right="210"/>
        <w:rPr>
          <w:rFonts w:asciiTheme="minorEastAsia" w:eastAsiaTheme="minorEastAsia" w:hAnsiTheme="minorEastAsia"/>
          <w:szCs w:val="24"/>
        </w:rPr>
      </w:pPr>
      <w:bookmarkStart w:id="8" w:name="_Toc14849"/>
      <w:r>
        <w:rPr>
          <w:rFonts w:asciiTheme="minorEastAsia" w:eastAsiaTheme="minorEastAsia" w:hAnsiTheme="minorEastAsia" w:hint="eastAsia"/>
          <w:szCs w:val="24"/>
        </w:rPr>
        <w:t>项目管理</w:t>
      </w:r>
      <w:bookmarkEnd w:id="8"/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依照项目场地管理规定，负责办理入场手续，按规定要求服务。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服务依照行业质量管理规定执行，有义务配合装修进度要求以及配合其他专业；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服务人员应符合管理要求，安全教育及管理由中选中标单位负责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实际服务时间及计划安排需要以采购方审核及通知为准；过程中产生的计划变动双方友好协商；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因产品服务过程中计划变化产生的仓储需求，由中选中标单位负责，采购方不提供产品暂存及仓储空间。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产品服务不排除分批进场及服务的可能性，中标单位合理评估仓储及人员配合成本。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中标方需在服务前准备好相关材料、设备，并确认好进场的服务人员。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中标方服务期间须服从建设单位的管理，配合建设单位安排的服务时间。所有服务人员不得到厂区外的场所流窜、逗留。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由于中标方的错误造成损失的，中标方除负责采取补救措施外，还应并根据损失程度向建设单位支付赔偿金。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中标方须确定项目经理和联系电话，以便双方及时沟通；如有变更，应及时通知建设单位。如中标方的项目经理工作不力或不能与建设单位良好配合，建设单位有权要求中标方更换项目经理。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中标方在服务过程中应对服务安全负完全责任,若在服务过程中发生人身伤亡事故、服务设备以及服务器具丢失损坏和工程质量事故，以及对第三方造成损失的，由中标人负完全责任。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服务现场的用水、用电、动火等由中标单位向招标方申请，经建设单位批准后按指定时段、位置实施。服务过程中应严格服从建设单位的管理。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服务开始前，服务单位需落实措施对现场相关设施实施保护，以确宿现场相关设施不被污染或损坏。每天工作结束时均应清理服务现场，保持现场的环境整洁。</w:t>
      </w:r>
    </w:p>
    <w:p w:rsidR="00143BB2" w:rsidRDefault="00AF0DD2">
      <w:pPr>
        <w:pStyle w:val="11"/>
        <w:numPr>
          <w:ilvl w:val="0"/>
          <w:numId w:val="13"/>
        </w:numPr>
        <w:spacing w:line="276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工程竣工后，中标方要按规定对本次中标的工程进行保修。对于保修期内的设施的维修、保养，中标方须在24小时内作出响应，及时排除故障。</w:t>
      </w:r>
    </w:p>
    <w:p w:rsidR="00143BB2" w:rsidRDefault="00143BB2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sectPr w:rsidR="00143B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73" w:rsidRDefault="00EB4673">
      <w:r>
        <w:separator/>
      </w:r>
    </w:p>
  </w:endnote>
  <w:endnote w:type="continuationSeparator" w:id="0">
    <w:p w:rsidR="00EB4673" w:rsidRDefault="00E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566467"/>
    </w:sdtPr>
    <w:sdtEndPr/>
    <w:sdtContent>
      <w:sdt>
        <w:sdtPr>
          <w:id w:val="-1383393925"/>
        </w:sdtPr>
        <w:sdtEndPr/>
        <w:sdtContent>
          <w:p w:rsidR="00143BB2" w:rsidRDefault="00AF0DD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C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C1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3BB2" w:rsidRDefault="00143B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73" w:rsidRDefault="00EB4673">
      <w:r>
        <w:separator/>
      </w:r>
    </w:p>
  </w:footnote>
  <w:footnote w:type="continuationSeparator" w:id="0">
    <w:p w:rsidR="00EB4673" w:rsidRDefault="00EB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A5F5BF"/>
    <w:multiLevelType w:val="singleLevel"/>
    <w:tmpl w:val="BBA5F5BF"/>
    <w:lvl w:ilvl="0">
      <w:start w:val="1"/>
      <w:numFmt w:val="decimal"/>
      <w:suff w:val="space"/>
      <w:lvlText w:val="%1."/>
      <w:lvlJc w:val="left"/>
    </w:lvl>
  </w:abstractNum>
  <w:abstractNum w:abstractNumId="1">
    <w:nsid w:val="0DDD07F1"/>
    <w:multiLevelType w:val="multilevel"/>
    <w:tmpl w:val="0DDD07F1"/>
    <w:lvl w:ilvl="0">
      <w:start w:val="1"/>
      <w:numFmt w:val="decimal"/>
      <w:pStyle w:val="2"/>
      <w:lvlText w:val="%1."/>
      <w:lvlJc w:val="left"/>
      <w:pPr>
        <w:ind w:left="2263" w:hanging="42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D1430A"/>
    <w:multiLevelType w:val="multilevel"/>
    <w:tmpl w:val="27D1430A"/>
    <w:lvl w:ilvl="0">
      <w:start w:val="1"/>
      <w:numFmt w:val="decimal"/>
      <w:lvlText w:val="%1)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ADC0291"/>
    <w:multiLevelType w:val="multilevel"/>
    <w:tmpl w:val="2ADC029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11328"/>
    <w:multiLevelType w:val="multilevel"/>
    <w:tmpl w:val="3021132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CB36AD"/>
    <w:multiLevelType w:val="multilevel"/>
    <w:tmpl w:val="3ACB36AD"/>
    <w:lvl w:ilvl="0">
      <w:start w:val="1"/>
      <w:numFmt w:val="decimal"/>
      <w:lvlText w:val="%1."/>
      <w:lvlJc w:val="left"/>
      <w:pPr>
        <w:ind w:left="840" w:hanging="420"/>
      </w:pPr>
      <w:rPr>
        <w:rFonts w:asciiTheme="minorEastAsia" w:eastAsiaTheme="minorEastAsia" w:hAnsiTheme="minorEastAsia" w:cstheme="minorEastAsia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CFA2FD7"/>
    <w:multiLevelType w:val="multilevel"/>
    <w:tmpl w:val="5CFA2F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B3103"/>
    <w:multiLevelType w:val="multilevel"/>
    <w:tmpl w:val="61EB31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97657"/>
    <w:multiLevelType w:val="multilevel"/>
    <w:tmpl w:val="64597657"/>
    <w:lvl w:ilvl="0">
      <w:start w:val="1"/>
      <w:numFmt w:val="chineseCountingThousand"/>
      <w:pStyle w:val="GW-6"/>
      <w:lvlText w:val="第%1章."/>
      <w:lvlJc w:val="left"/>
      <w:pPr>
        <w:ind w:left="7225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780" w:hanging="420"/>
      </w:pPr>
      <w:rPr>
        <w:rFonts w:ascii="Cambria" w:eastAsia="仿宋_GB2312" w:hAnsi="Cambria" w:hint="default"/>
        <w:b/>
        <w:i w:val="0"/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51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9210" w:hanging="268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6942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isLgl/>
      <w:suff w:val="space"/>
      <w:lvlText w:val="%1.%2.%3.%4.%5.%6"/>
      <w:lvlJc w:val="left"/>
      <w:pPr>
        <w:ind w:left="6942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6942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6942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6942" w:hanging="420"/>
      </w:pPr>
      <w:rPr>
        <w:rFonts w:ascii="Cambria" w:eastAsia="仿宋_GB2312" w:hAnsi="Cambria" w:hint="default"/>
      </w:rPr>
    </w:lvl>
  </w:abstractNum>
  <w:abstractNum w:abstractNumId="9">
    <w:nsid w:val="674E5A18"/>
    <w:multiLevelType w:val="multilevel"/>
    <w:tmpl w:val="674E5A1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8641DD8"/>
    <w:multiLevelType w:val="multilevel"/>
    <w:tmpl w:val="68641DD8"/>
    <w:lvl w:ilvl="0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>
    <w:nsid w:val="69496957"/>
    <w:multiLevelType w:val="multilevel"/>
    <w:tmpl w:val="69496957"/>
    <w:lvl w:ilvl="0">
      <w:start w:val="1"/>
      <w:numFmt w:val="chi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E7951"/>
    <w:multiLevelType w:val="multilevel"/>
    <w:tmpl w:val="6F7E795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FhMjlmNjY4ZDRhMjc5MGNhNDBkZWM3ZGM4YjUifQ=="/>
    <w:docVar w:name="KSO_WPS_MARK_KEY" w:val="91065dae-6551-4a8a-afaa-706040d39c0b"/>
  </w:docVars>
  <w:rsids>
    <w:rsidRoot w:val="00BD7721"/>
    <w:rsid w:val="00007DBC"/>
    <w:rsid w:val="00022D38"/>
    <w:rsid w:val="00043993"/>
    <w:rsid w:val="000443A1"/>
    <w:rsid w:val="00051DCE"/>
    <w:rsid w:val="00055117"/>
    <w:rsid w:val="00090B7D"/>
    <w:rsid w:val="0009657B"/>
    <w:rsid w:val="000C4932"/>
    <w:rsid w:val="00132B05"/>
    <w:rsid w:val="0013695A"/>
    <w:rsid w:val="00143BB2"/>
    <w:rsid w:val="00153B2E"/>
    <w:rsid w:val="00181058"/>
    <w:rsid w:val="00184D14"/>
    <w:rsid w:val="00194187"/>
    <w:rsid w:val="00194E6B"/>
    <w:rsid w:val="00196416"/>
    <w:rsid w:val="001B064B"/>
    <w:rsid w:val="001E6162"/>
    <w:rsid w:val="001F1271"/>
    <w:rsid w:val="002131E5"/>
    <w:rsid w:val="00217037"/>
    <w:rsid w:val="00235BEE"/>
    <w:rsid w:val="00241266"/>
    <w:rsid w:val="0026279D"/>
    <w:rsid w:val="00273E9A"/>
    <w:rsid w:val="002760E7"/>
    <w:rsid w:val="002811BD"/>
    <w:rsid w:val="002A6A8B"/>
    <w:rsid w:val="002B1CBC"/>
    <w:rsid w:val="002C5B44"/>
    <w:rsid w:val="002D4A01"/>
    <w:rsid w:val="002D54FA"/>
    <w:rsid w:val="002E1420"/>
    <w:rsid w:val="002F5ED8"/>
    <w:rsid w:val="00381E6E"/>
    <w:rsid w:val="003906A5"/>
    <w:rsid w:val="003922ED"/>
    <w:rsid w:val="0039652B"/>
    <w:rsid w:val="003A5A5A"/>
    <w:rsid w:val="003B0CE1"/>
    <w:rsid w:val="003C1DC7"/>
    <w:rsid w:val="003D248E"/>
    <w:rsid w:val="003D393C"/>
    <w:rsid w:val="003D7AB1"/>
    <w:rsid w:val="003F6E5F"/>
    <w:rsid w:val="00410B0F"/>
    <w:rsid w:val="00422E94"/>
    <w:rsid w:val="004379A7"/>
    <w:rsid w:val="00457078"/>
    <w:rsid w:val="004601CE"/>
    <w:rsid w:val="00467A52"/>
    <w:rsid w:val="00473624"/>
    <w:rsid w:val="0047614A"/>
    <w:rsid w:val="00477E9B"/>
    <w:rsid w:val="00486305"/>
    <w:rsid w:val="004902DA"/>
    <w:rsid w:val="004A0A16"/>
    <w:rsid w:val="004A34B5"/>
    <w:rsid w:val="004A7A31"/>
    <w:rsid w:val="004C21CF"/>
    <w:rsid w:val="004C75C2"/>
    <w:rsid w:val="004D5F04"/>
    <w:rsid w:val="004D63E0"/>
    <w:rsid w:val="004F080D"/>
    <w:rsid w:val="004F37B7"/>
    <w:rsid w:val="00510553"/>
    <w:rsid w:val="005167ED"/>
    <w:rsid w:val="005433E1"/>
    <w:rsid w:val="005611EF"/>
    <w:rsid w:val="00590F0B"/>
    <w:rsid w:val="00593C63"/>
    <w:rsid w:val="00597985"/>
    <w:rsid w:val="005A2267"/>
    <w:rsid w:val="005B379D"/>
    <w:rsid w:val="005C1945"/>
    <w:rsid w:val="005D18FA"/>
    <w:rsid w:val="005D191A"/>
    <w:rsid w:val="005D732A"/>
    <w:rsid w:val="005E0891"/>
    <w:rsid w:val="00607613"/>
    <w:rsid w:val="00656C19"/>
    <w:rsid w:val="00665F2C"/>
    <w:rsid w:val="0069320F"/>
    <w:rsid w:val="00694B84"/>
    <w:rsid w:val="006B7FA1"/>
    <w:rsid w:val="006C02F8"/>
    <w:rsid w:val="006D0EA4"/>
    <w:rsid w:val="006D2B82"/>
    <w:rsid w:val="006F6714"/>
    <w:rsid w:val="00702D8B"/>
    <w:rsid w:val="00714138"/>
    <w:rsid w:val="007323D2"/>
    <w:rsid w:val="00763715"/>
    <w:rsid w:val="00773D67"/>
    <w:rsid w:val="007A6FA9"/>
    <w:rsid w:val="007E4970"/>
    <w:rsid w:val="00836653"/>
    <w:rsid w:val="00836668"/>
    <w:rsid w:val="00845AED"/>
    <w:rsid w:val="008C24CA"/>
    <w:rsid w:val="008F3929"/>
    <w:rsid w:val="0091426F"/>
    <w:rsid w:val="00932253"/>
    <w:rsid w:val="00932281"/>
    <w:rsid w:val="009359E8"/>
    <w:rsid w:val="00935DD3"/>
    <w:rsid w:val="00947012"/>
    <w:rsid w:val="009A0611"/>
    <w:rsid w:val="009D7772"/>
    <w:rsid w:val="00A21796"/>
    <w:rsid w:val="00A27961"/>
    <w:rsid w:val="00A30DE9"/>
    <w:rsid w:val="00A37259"/>
    <w:rsid w:val="00A63398"/>
    <w:rsid w:val="00A93236"/>
    <w:rsid w:val="00AA385A"/>
    <w:rsid w:val="00AA5E57"/>
    <w:rsid w:val="00AB35E0"/>
    <w:rsid w:val="00AC06FE"/>
    <w:rsid w:val="00AE2FCA"/>
    <w:rsid w:val="00AE46E5"/>
    <w:rsid w:val="00AF0DD2"/>
    <w:rsid w:val="00AF3B8C"/>
    <w:rsid w:val="00B046D0"/>
    <w:rsid w:val="00B241CD"/>
    <w:rsid w:val="00B26FD9"/>
    <w:rsid w:val="00B437C5"/>
    <w:rsid w:val="00B46EAC"/>
    <w:rsid w:val="00B86624"/>
    <w:rsid w:val="00B91CA2"/>
    <w:rsid w:val="00BA15FE"/>
    <w:rsid w:val="00BA3D81"/>
    <w:rsid w:val="00BA5652"/>
    <w:rsid w:val="00BD7721"/>
    <w:rsid w:val="00C05E40"/>
    <w:rsid w:val="00C23D4A"/>
    <w:rsid w:val="00C35624"/>
    <w:rsid w:val="00C41E96"/>
    <w:rsid w:val="00C42D25"/>
    <w:rsid w:val="00C45EE8"/>
    <w:rsid w:val="00C768FF"/>
    <w:rsid w:val="00C83371"/>
    <w:rsid w:val="00CF25D3"/>
    <w:rsid w:val="00D0240A"/>
    <w:rsid w:val="00D10D6E"/>
    <w:rsid w:val="00D31DA0"/>
    <w:rsid w:val="00D34C60"/>
    <w:rsid w:val="00D44B34"/>
    <w:rsid w:val="00D52643"/>
    <w:rsid w:val="00D75670"/>
    <w:rsid w:val="00D854A7"/>
    <w:rsid w:val="00DB1C51"/>
    <w:rsid w:val="00DB5B84"/>
    <w:rsid w:val="00DC408B"/>
    <w:rsid w:val="00DC5124"/>
    <w:rsid w:val="00DD5C38"/>
    <w:rsid w:val="00E12824"/>
    <w:rsid w:val="00E21191"/>
    <w:rsid w:val="00E22386"/>
    <w:rsid w:val="00E23308"/>
    <w:rsid w:val="00E43B8A"/>
    <w:rsid w:val="00E44AEF"/>
    <w:rsid w:val="00E54949"/>
    <w:rsid w:val="00E627BD"/>
    <w:rsid w:val="00E632C7"/>
    <w:rsid w:val="00EB4673"/>
    <w:rsid w:val="00EC1290"/>
    <w:rsid w:val="00EC1362"/>
    <w:rsid w:val="00EC4C10"/>
    <w:rsid w:val="00ED3F3B"/>
    <w:rsid w:val="00EE39C2"/>
    <w:rsid w:val="00EE6DE0"/>
    <w:rsid w:val="00F03F77"/>
    <w:rsid w:val="00F2478E"/>
    <w:rsid w:val="00F44276"/>
    <w:rsid w:val="00F626D2"/>
    <w:rsid w:val="00F74020"/>
    <w:rsid w:val="00F86331"/>
    <w:rsid w:val="00F96E0C"/>
    <w:rsid w:val="00FC37E4"/>
    <w:rsid w:val="00FC780F"/>
    <w:rsid w:val="09032D9E"/>
    <w:rsid w:val="0E503163"/>
    <w:rsid w:val="11267B3A"/>
    <w:rsid w:val="12660B46"/>
    <w:rsid w:val="14C7423D"/>
    <w:rsid w:val="18BA593B"/>
    <w:rsid w:val="1C753AB5"/>
    <w:rsid w:val="238F09CD"/>
    <w:rsid w:val="252B58A6"/>
    <w:rsid w:val="289F30CC"/>
    <w:rsid w:val="2A3D5D6C"/>
    <w:rsid w:val="313F3C78"/>
    <w:rsid w:val="325D4AB4"/>
    <w:rsid w:val="388C26EA"/>
    <w:rsid w:val="3BE35004"/>
    <w:rsid w:val="3CA801C0"/>
    <w:rsid w:val="3FD06D84"/>
    <w:rsid w:val="3FD61438"/>
    <w:rsid w:val="3FDF097E"/>
    <w:rsid w:val="512201E8"/>
    <w:rsid w:val="53014DBA"/>
    <w:rsid w:val="54AD1AD5"/>
    <w:rsid w:val="57497B3D"/>
    <w:rsid w:val="59EF5F96"/>
    <w:rsid w:val="69A2602B"/>
    <w:rsid w:val="6C5E1466"/>
    <w:rsid w:val="76D65625"/>
    <w:rsid w:val="7BB73FD9"/>
    <w:rsid w:val="7FC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78789-142B-4219-A604-D243AEA4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"/>
    <w:unhideWhenUsed/>
    <w:qFormat/>
    <w:pPr>
      <w:numPr>
        <w:numId w:val="1"/>
      </w:numPr>
      <w:spacing w:before="240" w:after="240" w:line="240" w:lineRule="auto"/>
      <w:ind w:rightChars="100" w:right="100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260"/>
      <w:jc w:val="left"/>
    </w:pPr>
    <w:rPr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pPr>
      <w:ind w:left="420"/>
      <w:jc w:val="left"/>
    </w:pPr>
    <w:rPr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70"/>
      <w:jc w:val="left"/>
    </w:pPr>
    <w:rPr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/>
      <w:jc w:val="left"/>
    </w:pPr>
    <w:rPr>
      <w:b/>
      <w:bCs/>
      <w:i/>
      <w:iCs/>
      <w:sz w:val="24"/>
      <w:szCs w:val="24"/>
    </w:rPr>
  </w:style>
  <w:style w:type="paragraph" w:styleId="4">
    <w:name w:val="toc 4"/>
    <w:basedOn w:val="a"/>
    <w:next w:val="a"/>
    <w:uiPriority w:val="39"/>
    <w:unhideWhenUsed/>
    <w:qFormat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pPr>
      <w:tabs>
        <w:tab w:val="left" w:pos="1050"/>
        <w:tab w:val="right" w:leader="dot" w:pos="8296"/>
      </w:tabs>
      <w:spacing w:before="120" w:line="760" w:lineRule="exact"/>
      <w:ind w:left="210"/>
      <w:jc w:val="left"/>
    </w:pPr>
    <w:rPr>
      <w:b/>
      <w:bCs/>
      <w:sz w:val="22"/>
    </w:rPr>
  </w:style>
  <w:style w:type="paragraph" w:styleId="9">
    <w:name w:val="toc 9"/>
    <w:basedOn w:val="a"/>
    <w:next w:val="a"/>
    <w:uiPriority w:val="39"/>
    <w:unhideWhenUsed/>
    <w:qFormat/>
    <w:pPr>
      <w:ind w:left="1680"/>
      <w:jc w:val="left"/>
    </w:pPr>
    <w:rPr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44"/>
      <w:sz w:val="2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GW-2">
    <w:name w:val="GW-标题2"/>
    <w:basedOn w:val="a"/>
    <w:next w:val="a"/>
    <w:link w:val="GW-2Char"/>
    <w:qFormat/>
    <w:pPr>
      <w:keepNext/>
      <w:keepLines/>
      <w:numPr>
        <w:ilvl w:val="1"/>
        <w:numId w:val="2"/>
      </w:numPr>
      <w:spacing w:beforeLines="100" w:before="100" w:afterLines="100" w:after="100" w:line="360" w:lineRule="auto"/>
      <w:ind w:leftChars="100" w:left="420" w:rightChars="100" w:right="100"/>
      <w:jc w:val="center"/>
      <w:outlineLvl w:val="1"/>
    </w:pPr>
    <w:rPr>
      <w:rFonts w:ascii="Times New Roman" w:eastAsia="宋体" w:hAnsi="Times New Roman" w:cs="Times New Roman"/>
      <w:b/>
      <w:bCs/>
      <w:kern w:val="44"/>
      <w:sz w:val="36"/>
      <w:szCs w:val="44"/>
      <w:lang w:val="zh-CN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ind w:left="720" w:hanging="720"/>
      <w:outlineLvl w:val="3"/>
    </w:pPr>
    <w:rPr>
      <w:rFonts w:eastAsia="仿宋_GB2312"/>
      <w:sz w:val="30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ind w:left="6942"/>
      <w:jc w:val="left"/>
      <w:outlineLvl w:val="2"/>
    </w:pPr>
    <w:rPr>
      <w:rFonts w:ascii="仿宋_GB2312"/>
      <w:sz w:val="32"/>
      <w:szCs w:val="24"/>
    </w:rPr>
  </w:style>
  <w:style w:type="character" w:customStyle="1" w:styleId="GW-3Char">
    <w:name w:val="GW-标题3 Char"/>
    <w:link w:val="GW-3"/>
    <w:qFormat/>
    <w:rPr>
      <w:rFonts w:ascii="仿宋_GB2312" w:eastAsia="宋体" w:hAnsi="Times New Roman" w:cs="Times New Roman"/>
      <w:b/>
      <w:bCs/>
      <w:kern w:val="44"/>
      <w:sz w:val="32"/>
      <w:szCs w:val="24"/>
      <w:lang w:val="zh-CN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tabs>
        <w:tab w:val="left" w:pos="360"/>
      </w:tabs>
      <w:ind w:left="1080" w:hanging="1080"/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0"/>
      </w:numPr>
      <w:tabs>
        <w:tab w:val="left" w:pos="3000"/>
      </w:tabs>
      <w:ind w:leftChars="0" w:left="0"/>
      <w:jc w:val="center"/>
      <w:outlineLvl w:val="5"/>
    </w:pPr>
    <w:rPr>
      <w:sz w:val="44"/>
    </w:rPr>
  </w:style>
  <w:style w:type="paragraph" w:customStyle="1" w:styleId="GW-8">
    <w:name w:val="GW-标题8"/>
    <w:basedOn w:val="GW-7"/>
    <w:qFormat/>
    <w:pPr>
      <w:numPr>
        <w:ilvl w:val="7"/>
      </w:numPr>
      <w:tabs>
        <w:tab w:val="left" w:pos="3840"/>
      </w:tabs>
      <w:ind w:left="1440" w:hanging="1440"/>
    </w:pPr>
    <w:rPr>
      <w:b w:val="0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tabs>
        <w:tab w:val="left" w:pos="3420"/>
      </w:tabs>
      <w:ind w:left="1440" w:hanging="1440"/>
      <w:outlineLvl w:val="6"/>
    </w:pPr>
    <w:rPr>
      <w:sz w:val="21"/>
    </w:rPr>
  </w:style>
  <w:style w:type="paragraph" w:customStyle="1" w:styleId="GW-9">
    <w:name w:val="GW-标题9"/>
    <w:basedOn w:val="GW-8"/>
    <w:qFormat/>
    <w:pPr>
      <w:numPr>
        <w:ilvl w:val="8"/>
      </w:numPr>
      <w:tabs>
        <w:tab w:val="left" w:pos="4260"/>
      </w:tabs>
      <w:ind w:left="1800" w:hanging="1800"/>
    </w:pPr>
  </w:style>
  <w:style w:type="character" w:customStyle="1" w:styleId="GW-2Char">
    <w:name w:val="GW-标题2 Char"/>
    <w:link w:val="GW-2"/>
    <w:qFormat/>
    <w:rPr>
      <w:rFonts w:ascii="Times New Roman" w:eastAsia="宋体" w:hAnsi="Times New Roman" w:cs="Times New Roman"/>
      <w:b/>
      <w:bCs/>
      <w:kern w:val="44"/>
      <w:sz w:val="36"/>
      <w:szCs w:val="44"/>
      <w:lang w:val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446</Words>
  <Characters>2543</Characters>
  <Application>Microsoft Office Word</Application>
  <DocSecurity>0</DocSecurity>
  <Lines>21</Lines>
  <Paragraphs>5</Paragraphs>
  <ScaleCrop>false</ScaleCrop>
  <Company>微软中国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gaoqingxin</dc:creator>
  <cp:lastModifiedBy>微软用户</cp:lastModifiedBy>
  <cp:revision>146</cp:revision>
  <cp:lastPrinted>2021-08-23T03:13:00Z</cp:lastPrinted>
  <dcterms:created xsi:type="dcterms:W3CDTF">2020-08-28T09:06:00Z</dcterms:created>
  <dcterms:modified xsi:type="dcterms:W3CDTF">2023-04-11T07:30:00Z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72769F99FC1C4059819F65077583ED5E</vt:lpwstr>
  </property>
</Properties>
</file>