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66" w:rsidRPr="00382C66" w:rsidRDefault="00382C66" w:rsidP="00382C66">
      <w:pPr>
        <w:spacing w:line="360" w:lineRule="auto"/>
        <w:jc w:val="center"/>
        <w:rPr>
          <w:rFonts w:eastAsia="宋体" w:hAnsi="宋体" w:cs="宋体" w:hint="eastAsia"/>
          <w:b/>
          <w:sz w:val="30"/>
          <w:szCs w:val="30"/>
        </w:rPr>
      </w:pPr>
      <w:r w:rsidRPr="00382C66">
        <w:rPr>
          <w:rFonts w:eastAsia="宋体" w:hAnsi="宋体" w:cs="宋体" w:hint="eastAsia"/>
          <w:b/>
          <w:sz w:val="30"/>
          <w:szCs w:val="30"/>
        </w:rPr>
        <w:t>评审方法</w:t>
      </w:r>
    </w:p>
    <w:p w:rsidR="00382C66" w:rsidRDefault="00382C66" w:rsidP="00382C66">
      <w:pPr>
        <w:spacing w:line="360" w:lineRule="auto"/>
        <w:rPr>
          <w:rFonts w:eastAsia="宋体" w:hAnsi="宋体" w:cs="宋体" w:hint="eastAsia"/>
        </w:rPr>
      </w:pPr>
    </w:p>
    <w:p w:rsidR="00382C66" w:rsidRDefault="00382C66" w:rsidP="00382C66">
      <w:pPr>
        <w:spacing w:line="360" w:lineRule="auto"/>
        <w:ind w:firstLineChars="200" w:firstLine="480"/>
        <w:rPr>
          <w:rFonts w:eastAsia="宋体" w:hAnsi="宋体" w:cs="宋体"/>
        </w:rPr>
      </w:pPr>
      <w:r>
        <w:rPr>
          <w:rFonts w:eastAsia="宋体" w:hAnsi="宋体" w:cs="宋体" w:hint="eastAsia"/>
        </w:rPr>
        <w:t>磋商小组在满足磋商文件全部实质性要求前提下，对各供应商的价格、技术商务进行综合评审和独立评分，以综合总得分最高前3名供应商推荐为成交候选供应商。</w:t>
      </w:r>
      <w:bookmarkStart w:id="0" w:name="_GoBack"/>
      <w:bookmarkEnd w:id="0"/>
    </w:p>
    <w:p w:rsidR="00382C66" w:rsidRDefault="00382C66" w:rsidP="00382C6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144"/>
        <w:gridCol w:w="585"/>
        <w:gridCol w:w="4668"/>
        <w:gridCol w:w="480"/>
        <w:gridCol w:w="508"/>
        <w:gridCol w:w="513"/>
      </w:tblGrid>
      <w:tr w:rsidR="00382C66" w:rsidTr="00025B71">
        <w:trPr>
          <w:trHeight w:hRule="exact" w:val="304"/>
        </w:trPr>
        <w:tc>
          <w:tcPr>
            <w:tcW w:w="364" w:type="pct"/>
            <w:vMerge w:val="restar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序号</w:t>
            </w:r>
          </w:p>
        </w:tc>
        <w:tc>
          <w:tcPr>
            <w:tcW w:w="671" w:type="pct"/>
            <w:vMerge w:val="restar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评审内容</w:t>
            </w:r>
          </w:p>
        </w:tc>
        <w:tc>
          <w:tcPr>
            <w:tcW w:w="343" w:type="pct"/>
            <w:vMerge w:val="restar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分值</w:t>
            </w:r>
          </w:p>
        </w:tc>
        <w:tc>
          <w:tcPr>
            <w:tcW w:w="2739" w:type="pct"/>
            <w:vMerge w:val="restar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评审细则</w:t>
            </w:r>
          </w:p>
        </w:tc>
        <w:tc>
          <w:tcPr>
            <w:tcW w:w="881" w:type="pct"/>
            <w:gridSpan w:val="3"/>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供应商单位名称</w:t>
            </w:r>
          </w:p>
        </w:tc>
      </w:tr>
      <w:tr w:rsidR="00382C66" w:rsidTr="00025B71">
        <w:trPr>
          <w:trHeight w:hRule="exact" w:val="300"/>
        </w:trPr>
        <w:tc>
          <w:tcPr>
            <w:tcW w:w="364"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671"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343"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2739"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282" w:type="pc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298" w:type="pc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300" w:type="pc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r>
      <w:tr w:rsidR="00382C66" w:rsidTr="00025B71">
        <w:trPr>
          <w:trHeight w:val="1581"/>
        </w:trPr>
        <w:tc>
          <w:tcPr>
            <w:tcW w:w="364" w:type="pc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1</w:t>
            </w:r>
          </w:p>
        </w:tc>
        <w:tc>
          <w:tcPr>
            <w:tcW w:w="671" w:type="pct"/>
            <w:vAlign w:val="center"/>
          </w:tcPr>
          <w:p w:rsidR="00382C66" w:rsidRDefault="00382C66" w:rsidP="00025B71">
            <w:pPr>
              <w:autoSpaceDE w:val="0"/>
              <w:autoSpaceDN w:val="0"/>
              <w:adjustRightInd w:val="0"/>
              <w:snapToGrid w:val="0"/>
              <w:jc w:val="center"/>
              <w:outlineLvl w:val="1"/>
              <w:rPr>
                <w:rFonts w:eastAsia="宋体" w:hAnsi="宋体" w:cs="宋体"/>
                <w:bCs/>
                <w:szCs w:val="21"/>
              </w:rPr>
            </w:pPr>
            <w:r>
              <w:rPr>
                <w:rFonts w:eastAsia="宋体" w:hAnsi="宋体" w:cs="宋体" w:hint="eastAsia"/>
                <w:bCs/>
                <w:szCs w:val="21"/>
              </w:rPr>
              <w:t>对项目内容的解读程度</w:t>
            </w:r>
          </w:p>
        </w:tc>
        <w:tc>
          <w:tcPr>
            <w:tcW w:w="343"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r>
              <w:rPr>
                <w:rFonts w:eastAsia="宋体" w:hAnsi="宋体" w:cs="宋体" w:hint="eastAsia"/>
                <w:bCs/>
                <w:szCs w:val="21"/>
              </w:rPr>
              <w:t>20</w:t>
            </w:r>
          </w:p>
        </w:tc>
        <w:tc>
          <w:tcPr>
            <w:tcW w:w="2739" w:type="pct"/>
            <w:vAlign w:val="center"/>
          </w:tcPr>
          <w:p w:rsidR="00382C66" w:rsidRDefault="00382C66" w:rsidP="00025B71">
            <w:pPr>
              <w:autoSpaceDE w:val="0"/>
              <w:autoSpaceDN w:val="0"/>
              <w:adjustRightInd w:val="0"/>
              <w:snapToGrid w:val="0"/>
              <w:jc w:val="left"/>
              <w:outlineLvl w:val="1"/>
              <w:rPr>
                <w:rFonts w:eastAsia="宋体" w:hAnsi="宋体" w:cs="宋体"/>
                <w:bCs/>
                <w:szCs w:val="21"/>
              </w:rPr>
            </w:pPr>
            <w:r>
              <w:rPr>
                <w:rFonts w:eastAsia="宋体" w:hAnsi="宋体" w:cs="宋体" w:hint="eastAsia"/>
                <w:bCs/>
                <w:szCs w:val="21"/>
              </w:rPr>
              <w:t>横向比较各供应商对项目内容的解读程度，对比各供应商提交的初步方案，初步方案详细合理可靠，表达清晰、</w:t>
            </w:r>
            <w:proofErr w:type="gramStart"/>
            <w:r>
              <w:rPr>
                <w:rFonts w:eastAsia="宋体" w:hAnsi="宋体" w:cs="宋体" w:hint="eastAsia"/>
                <w:bCs/>
                <w:szCs w:val="21"/>
              </w:rPr>
              <w:t>停电切电的</w:t>
            </w:r>
            <w:proofErr w:type="gramEnd"/>
            <w:r>
              <w:rPr>
                <w:rFonts w:eastAsia="宋体" w:hAnsi="宋体" w:cs="宋体" w:hint="eastAsia"/>
                <w:bCs/>
                <w:szCs w:val="21"/>
              </w:rPr>
              <w:t>方案优，总分20分；</w:t>
            </w:r>
          </w:p>
          <w:p w:rsidR="00382C66" w:rsidRDefault="00382C66" w:rsidP="00025B71">
            <w:pPr>
              <w:autoSpaceDE w:val="0"/>
              <w:autoSpaceDN w:val="0"/>
              <w:adjustRightInd w:val="0"/>
              <w:snapToGrid w:val="0"/>
              <w:jc w:val="left"/>
              <w:outlineLvl w:val="1"/>
              <w:rPr>
                <w:rFonts w:eastAsia="宋体" w:hAnsi="宋体" w:cs="宋体"/>
                <w:bCs/>
                <w:szCs w:val="21"/>
              </w:rPr>
            </w:pPr>
            <w:r>
              <w:rPr>
                <w:rFonts w:eastAsia="宋体" w:hAnsi="宋体" w:cs="宋体" w:hint="eastAsia"/>
                <w:bCs/>
                <w:szCs w:val="21"/>
              </w:rPr>
              <w:t>初步方案详细合理可靠，表达清晰、</w:t>
            </w:r>
            <w:proofErr w:type="gramStart"/>
            <w:r>
              <w:rPr>
                <w:rFonts w:eastAsia="宋体" w:hAnsi="宋体" w:cs="宋体" w:hint="eastAsia"/>
                <w:bCs/>
                <w:szCs w:val="21"/>
              </w:rPr>
              <w:t>停电切电的</w:t>
            </w:r>
            <w:proofErr w:type="gramEnd"/>
            <w:r>
              <w:rPr>
                <w:rFonts w:eastAsia="宋体" w:hAnsi="宋体" w:cs="宋体" w:hint="eastAsia"/>
                <w:bCs/>
                <w:szCs w:val="21"/>
              </w:rPr>
              <w:t>方案可行性评为优；得20分；</w:t>
            </w:r>
          </w:p>
          <w:p w:rsidR="00382C66" w:rsidRDefault="00382C66" w:rsidP="00025B71">
            <w:pPr>
              <w:autoSpaceDE w:val="0"/>
              <w:autoSpaceDN w:val="0"/>
              <w:adjustRightInd w:val="0"/>
              <w:snapToGrid w:val="0"/>
              <w:jc w:val="left"/>
              <w:outlineLvl w:val="1"/>
              <w:rPr>
                <w:rFonts w:eastAsia="宋体" w:hAnsi="宋体" w:cs="宋体"/>
                <w:bCs/>
                <w:szCs w:val="21"/>
              </w:rPr>
            </w:pPr>
            <w:r>
              <w:rPr>
                <w:rFonts w:eastAsia="宋体" w:hAnsi="宋体" w:cs="宋体" w:hint="eastAsia"/>
                <w:bCs/>
                <w:szCs w:val="21"/>
              </w:rPr>
              <w:t>初步方案一般，简单、</w:t>
            </w:r>
            <w:proofErr w:type="gramStart"/>
            <w:r>
              <w:rPr>
                <w:rFonts w:eastAsia="宋体" w:hAnsi="宋体" w:cs="宋体" w:hint="eastAsia"/>
                <w:bCs/>
                <w:szCs w:val="21"/>
              </w:rPr>
              <w:t>停电切电的</w:t>
            </w:r>
            <w:proofErr w:type="gramEnd"/>
            <w:r>
              <w:rPr>
                <w:rFonts w:eastAsia="宋体" w:hAnsi="宋体" w:cs="宋体" w:hint="eastAsia"/>
                <w:bCs/>
                <w:szCs w:val="21"/>
              </w:rPr>
              <w:t>方案可行性评为良，得15分</w:t>
            </w:r>
          </w:p>
          <w:p w:rsidR="00382C66" w:rsidRDefault="00382C66" w:rsidP="00025B71">
            <w:pPr>
              <w:autoSpaceDE w:val="0"/>
              <w:autoSpaceDN w:val="0"/>
              <w:adjustRightInd w:val="0"/>
              <w:snapToGrid w:val="0"/>
              <w:jc w:val="left"/>
              <w:outlineLvl w:val="1"/>
              <w:rPr>
                <w:rFonts w:eastAsia="宋体" w:hAnsi="宋体" w:cs="宋体"/>
                <w:bCs/>
                <w:szCs w:val="21"/>
              </w:rPr>
            </w:pPr>
            <w:r>
              <w:rPr>
                <w:rFonts w:eastAsia="宋体" w:hAnsi="宋体" w:cs="宋体" w:hint="eastAsia"/>
                <w:bCs/>
                <w:szCs w:val="21"/>
              </w:rPr>
              <w:t>初步方案简单，可行性评为差，得10分</w:t>
            </w:r>
          </w:p>
          <w:p w:rsidR="00382C66" w:rsidRDefault="00382C66" w:rsidP="00025B71">
            <w:pPr>
              <w:autoSpaceDE w:val="0"/>
              <w:autoSpaceDN w:val="0"/>
              <w:adjustRightInd w:val="0"/>
              <w:snapToGrid w:val="0"/>
              <w:jc w:val="left"/>
              <w:outlineLvl w:val="1"/>
              <w:rPr>
                <w:rFonts w:eastAsia="宋体" w:hAnsi="宋体" w:cs="宋体"/>
                <w:bCs/>
                <w:szCs w:val="21"/>
              </w:rPr>
            </w:pPr>
            <w:r>
              <w:rPr>
                <w:rFonts w:eastAsia="宋体" w:hAnsi="宋体" w:cs="宋体" w:hint="eastAsia"/>
                <w:bCs/>
                <w:szCs w:val="21"/>
              </w:rPr>
              <w:t>有对项目内容解读，但没有初步方案或停电方案，得0分。</w:t>
            </w:r>
          </w:p>
        </w:tc>
        <w:tc>
          <w:tcPr>
            <w:tcW w:w="282"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298"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300"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r>
      <w:tr w:rsidR="00382C66" w:rsidTr="00025B71">
        <w:tc>
          <w:tcPr>
            <w:tcW w:w="364" w:type="pct"/>
            <w:vMerge w:val="restart"/>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r>
              <w:rPr>
                <w:rFonts w:eastAsia="宋体" w:hAnsi="宋体" w:cs="宋体" w:hint="eastAsia"/>
                <w:b/>
                <w:szCs w:val="21"/>
              </w:rPr>
              <w:t>2</w:t>
            </w:r>
          </w:p>
        </w:tc>
        <w:tc>
          <w:tcPr>
            <w:tcW w:w="671" w:type="pct"/>
            <w:vMerge w:val="restart"/>
            <w:vAlign w:val="center"/>
          </w:tcPr>
          <w:p w:rsidR="00382C66" w:rsidRDefault="00382C66" w:rsidP="00025B71">
            <w:pPr>
              <w:autoSpaceDE w:val="0"/>
              <w:autoSpaceDN w:val="0"/>
              <w:adjustRightInd w:val="0"/>
              <w:snapToGrid w:val="0"/>
              <w:jc w:val="center"/>
              <w:outlineLvl w:val="1"/>
              <w:rPr>
                <w:rFonts w:eastAsia="宋体" w:hAnsi="宋体" w:cs="宋体"/>
                <w:bCs/>
                <w:szCs w:val="21"/>
              </w:rPr>
            </w:pPr>
            <w:r>
              <w:rPr>
                <w:rFonts w:eastAsia="宋体" w:hAnsi="宋体" w:cs="宋体" w:hint="eastAsia"/>
                <w:szCs w:val="21"/>
                <w:lang w:bidi="ar"/>
              </w:rPr>
              <w:t>设计服务方案</w:t>
            </w:r>
          </w:p>
        </w:tc>
        <w:tc>
          <w:tcPr>
            <w:tcW w:w="343"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r>
              <w:rPr>
                <w:rFonts w:eastAsia="宋体" w:hAnsi="宋体" w:cs="宋体" w:hint="eastAsia"/>
                <w:bCs/>
                <w:szCs w:val="21"/>
              </w:rPr>
              <w:t>10</w:t>
            </w:r>
          </w:p>
        </w:tc>
        <w:tc>
          <w:tcPr>
            <w:tcW w:w="2739" w:type="pct"/>
            <w:vAlign w:val="center"/>
          </w:tcPr>
          <w:p w:rsidR="00382C66" w:rsidRDefault="00382C66" w:rsidP="00025B71">
            <w:pPr>
              <w:widowControl/>
              <w:jc w:val="left"/>
              <w:rPr>
                <w:rFonts w:eastAsia="宋体" w:hAnsi="宋体" w:cs="宋体"/>
              </w:rPr>
            </w:pPr>
            <w:r>
              <w:rPr>
                <w:rFonts w:eastAsia="宋体" w:hAnsi="宋体" w:cs="宋体" w:hint="eastAsia"/>
                <w:szCs w:val="21"/>
                <w:lang w:bidi="ar"/>
              </w:rPr>
              <w:t>针对本项目的工程特点，对本项目设计服务各阶段的设计控制的重点难点剖析到位；设计控制技术性合理化切实可行评为优：10分；</w:t>
            </w:r>
          </w:p>
          <w:p w:rsidR="00382C66" w:rsidRDefault="00382C66" w:rsidP="00025B71">
            <w:pPr>
              <w:widowControl/>
              <w:jc w:val="left"/>
              <w:rPr>
                <w:rFonts w:eastAsia="宋体" w:hAnsi="宋体" w:cs="宋体"/>
              </w:rPr>
            </w:pPr>
            <w:r>
              <w:rPr>
                <w:rFonts w:eastAsia="宋体" w:hAnsi="宋体" w:cs="宋体" w:hint="eastAsia"/>
                <w:szCs w:val="21"/>
                <w:lang w:bidi="ar"/>
              </w:rPr>
              <w:t>对本项目的设计服务管理重点难点分析一般，合理化建议有一定的可行性评为良：8分；</w:t>
            </w:r>
          </w:p>
          <w:p w:rsidR="00382C66" w:rsidRDefault="00382C66" w:rsidP="00025B71">
            <w:pPr>
              <w:autoSpaceDE w:val="0"/>
              <w:autoSpaceDN w:val="0"/>
              <w:adjustRightInd w:val="0"/>
              <w:snapToGrid w:val="0"/>
              <w:jc w:val="left"/>
              <w:outlineLvl w:val="1"/>
              <w:rPr>
                <w:rFonts w:eastAsia="宋体" w:hAnsi="宋体" w:cs="宋体"/>
                <w:szCs w:val="21"/>
              </w:rPr>
            </w:pPr>
            <w:r>
              <w:rPr>
                <w:rFonts w:eastAsia="宋体" w:hAnsi="宋体" w:cs="宋体" w:hint="eastAsia"/>
                <w:szCs w:val="21"/>
                <w:lang w:bidi="ar"/>
              </w:rPr>
              <w:t>对本项目的设计服务管理重点难点有基本认识，无合理化建议或建议不可行评为差：2分。</w:t>
            </w:r>
          </w:p>
        </w:tc>
        <w:tc>
          <w:tcPr>
            <w:tcW w:w="282"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298"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300"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r>
      <w:tr w:rsidR="00382C66" w:rsidTr="00025B71">
        <w:tc>
          <w:tcPr>
            <w:tcW w:w="364"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671" w:type="pct"/>
            <w:vMerge/>
            <w:vAlign w:val="center"/>
          </w:tcPr>
          <w:p w:rsidR="00382C66" w:rsidRDefault="00382C66" w:rsidP="00025B71">
            <w:pPr>
              <w:autoSpaceDE w:val="0"/>
              <w:autoSpaceDN w:val="0"/>
              <w:adjustRightInd w:val="0"/>
              <w:snapToGrid w:val="0"/>
              <w:jc w:val="center"/>
              <w:outlineLvl w:val="1"/>
              <w:rPr>
                <w:rFonts w:eastAsia="宋体" w:hAnsi="宋体" w:cs="宋体"/>
                <w:szCs w:val="21"/>
                <w:lang w:bidi="ar"/>
              </w:rPr>
            </w:pPr>
          </w:p>
        </w:tc>
        <w:tc>
          <w:tcPr>
            <w:tcW w:w="343"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r>
              <w:rPr>
                <w:rFonts w:eastAsia="宋体" w:hAnsi="宋体" w:cs="宋体" w:hint="eastAsia"/>
                <w:bCs/>
                <w:szCs w:val="21"/>
              </w:rPr>
              <w:t>5</w:t>
            </w:r>
          </w:p>
        </w:tc>
        <w:tc>
          <w:tcPr>
            <w:tcW w:w="2739" w:type="pct"/>
            <w:vAlign w:val="center"/>
          </w:tcPr>
          <w:p w:rsidR="00382C66" w:rsidRDefault="00382C66" w:rsidP="00025B71">
            <w:pPr>
              <w:widowControl/>
              <w:jc w:val="left"/>
              <w:rPr>
                <w:rFonts w:eastAsia="宋体" w:hAnsi="宋体" w:cs="宋体"/>
              </w:rPr>
            </w:pPr>
            <w:r>
              <w:rPr>
                <w:rFonts w:eastAsia="宋体" w:hAnsi="宋体" w:cs="宋体" w:hint="eastAsia"/>
                <w:szCs w:val="21"/>
                <w:lang w:bidi="ar"/>
              </w:rPr>
              <w:t>服务的质量、方法及措施完善，组织协调能力强，工作方案思路清晰，操作性强，有严格承诺严格遵守本次委托人对工程设计的各项要求和规定评为优：5分；</w:t>
            </w:r>
          </w:p>
          <w:p w:rsidR="00382C66" w:rsidRDefault="00382C66" w:rsidP="00025B71">
            <w:pPr>
              <w:widowControl/>
              <w:jc w:val="left"/>
              <w:rPr>
                <w:rFonts w:eastAsia="宋体" w:hAnsi="宋体" w:cs="宋体"/>
              </w:rPr>
            </w:pPr>
            <w:r>
              <w:rPr>
                <w:rFonts w:eastAsia="宋体" w:hAnsi="宋体" w:cs="宋体" w:hint="eastAsia"/>
                <w:szCs w:val="21"/>
                <w:lang w:bidi="ar"/>
              </w:rPr>
              <w:t>服务的质量、方法及措施较完善，组织协调能力较强，工作方案思路比较清晰，操作性较强评为良，有一般承诺严格遵守本次委托人对工程设计的各项要求和规定评为良：3分；</w:t>
            </w:r>
          </w:p>
          <w:p w:rsidR="00382C66" w:rsidRDefault="00382C66" w:rsidP="00025B71">
            <w:pPr>
              <w:autoSpaceDE w:val="0"/>
              <w:autoSpaceDN w:val="0"/>
              <w:adjustRightInd w:val="0"/>
              <w:snapToGrid w:val="0"/>
              <w:jc w:val="left"/>
              <w:outlineLvl w:val="1"/>
              <w:rPr>
                <w:rFonts w:eastAsia="宋体" w:hAnsi="宋体" w:cs="宋体"/>
                <w:szCs w:val="21"/>
              </w:rPr>
            </w:pPr>
            <w:r>
              <w:rPr>
                <w:rFonts w:eastAsia="宋体" w:hAnsi="宋体" w:cs="宋体" w:hint="eastAsia"/>
                <w:szCs w:val="21"/>
                <w:lang w:bidi="ar"/>
              </w:rPr>
              <w:t>服务的质量、方法及措施一般，组织协调能力一般，工作方案思路清晰度及操作性一般，有承诺但不明确的或无承诺的定评为</w:t>
            </w:r>
            <w:r>
              <w:rPr>
                <w:rFonts w:eastAsia="宋体" w:hAnsi="宋体" w:cs="宋体" w:hint="eastAsia"/>
                <w:szCs w:val="21"/>
                <w:lang w:bidi="ar"/>
              </w:rPr>
              <w:lastRenderedPageBreak/>
              <w:t>差：2分。</w:t>
            </w:r>
          </w:p>
        </w:tc>
        <w:tc>
          <w:tcPr>
            <w:tcW w:w="282"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298"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300"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r>
      <w:tr w:rsidR="00382C66" w:rsidTr="00025B71">
        <w:tc>
          <w:tcPr>
            <w:tcW w:w="364" w:type="pct"/>
            <w:vMerge/>
            <w:vAlign w:val="center"/>
          </w:tcPr>
          <w:p w:rsidR="00382C66" w:rsidRDefault="00382C66" w:rsidP="00025B71">
            <w:pPr>
              <w:autoSpaceDE w:val="0"/>
              <w:autoSpaceDN w:val="0"/>
              <w:adjustRightInd w:val="0"/>
              <w:snapToGrid w:val="0"/>
              <w:ind w:right="34"/>
              <w:jc w:val="center"/>
              <w:outlineLvl w:val="1"/>
              <w:rPr>
                <w:rFonts w:eastAsia="宋体" w:hAnsi="宋体" w:cs="宋体"/>
                <w:b/>
                <w:szCs w:val="21"/>
              </w:rPr>
            </w:pPr>
          </w:p>
        </w:tc>
        <w:tc>
          <w:tcPr>
            <w:tcW w:w="671" w:type="pct"/>
            <w:vMerge/>
            <w:vAlign w:val="center"/>
          </w:tcPr>
          <w:p w:rsidR="00382C66" w:rsidRDefault="00382C66" w:rsidP="00025B71">
            <w:pPr>
              <w:autoSpaceDE w:val="0"/>
              <w:autoSpaceDN w:val="0"/>
              <w:adjustRightInd w:val="0"/>
              <w:snapToGrid w:val="0"/>
              <w:jc w:val="center"/>
              <w:outlineLvl w:val="1"/>
              <w:rPr>
                <w:rFonts w:eastAsia="宋体" w:hAnsi="宋体" w:cs="宋体"/>
                <w:szCs w:val="21"/>
                <w:lang w:bidi="ar"/>
              </w:rPr>
            </w:pPr>
          </w:p>
        </w:tc>
        <w:tc>
          <w:tcPr>
            <w:tcW w:w="343"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r>
              <w:rPr>
                <w:rFonts w:eastAsia="宋体" w:hAnsi="宋体" w:cs="宋体" w:hint="eastAsia"/>
                <w:bCs/>
                <w:szCs w:val="21"/>
              </w:rPr>
              <w:t>5</w:t>
            </w:r>
          </w:p>
        </w:tc>
        <w:tc>
          <w:tcPr>
            <w:tcW w:w="2739" w:type="pct"/>
            <w:vAlign w:val="center"/>
          </w:tcPr>
          <w:p w:rsidR="00382C66" w:rsidRDefault="00382C66" w:rsidP="00025B71">
            <w:pPr>
              <w:autoSpaceDE w:val="0"/>
              <w:autoSpaceDN w:val="0"/>
              <w:adjustRightInd w:val="0"/>
              <w:snapToGrid w:val="0"/>
              <w:jc w:val="left"/>
              <w:outlineLvl w:val="1"/>
              <w:rPr>
                <w:rFonts w:eastAsia="宋体" w:hAnsi="宋体" w:cs="宋体"/>
                <w:szCs w:val="21"/>
                <w:lang w:bidi="ar"/>
              </w:rPr>
            </w:pPr>
            <w:r>
              <w:rPr>
                <w:rFonts w:eastAsia="宋体" w:hAnsi="宋体" w:cs="宋体" w:hint="eastAsia"/>
                <w:szCs w:val="21"/>
                <w:lang w:bidi="ar"/>
              </w:rPr>
              <w:t>针对本项目的投标阶段设计任务要求，投标阶段的设计成果总体要求、投标设计成果文本文件要求等评审；全面、合理、完善得5分；不够全面、合理性一般得3分；不够全面、合理性差得1分。</w:t>
            </w:r>
          </w:p>
        </w:tc>
        <w:tc>
          <w:tcPr>
            <w:tcW w:w="282"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298"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c>
          <w:tcPr>
            <w:tcW w:w="300" w:type="pct"/>
            <w:vAlign w:val="center"/>
          </w:tcPr>
          <w:p w:rsidR="00382C66" w:rsidRDefault="00382C66" w:rsidP="00025B71">
            <w:pPr>
              <w:autoSpaceDE w:val="0"/>
              <w:autoSpaceDN w:val="0"/>
              <w:adjustRightInd w:val="0"/>
              <w:snapToGrid w:val="0"/>
              <w:ind w:right="34"/>
              <w:jc w:val="center"/>
              <w:outlineLvl w:val="1"/>
              <w:rPr>
                <w:rFonts w:eastAsia="宋体" w:hAnsi="宋体" w:cs="宋体"/>
                <w:bCs/>
                <w:szCs w:val="21"/>
              </w:rPr>
            </w:pPr>
          </w:p>
        </w:tc>
      </w:tr>
    </w:tbl>
    <w:p w:rsidR="00382C66" w:rsidRDefault="00382C66" w:rsidP="00382C66"/>
    <w:p w:rsidR="00382C66" w:rsidRDefault="00382C66" w:rsidP="00382C66">
      <w:pPr>
        <w:pStyle w:val="3"/>
        <w:spacing w:afterLines="0" w:after="0" w:line="240" w:lineRule="auto"/>
        <w:jc w:val="left"/>
        <w:rPr>
          <w:rFonts w:ascii="仿宋" w:eastAsia="仿宋" w:hAnsi="仿宋" w:cs="仿宋"/>
          <w:szCs w:val="21"/>
          <w:lang w:val="en-US"/>
        </w:rPr>
      </w:pPr>
      <w:r>
        <w:rPr>
          <w:rFonts w:ascii="仿宋" w:eastAsia="仿宋" w:hAnsi="仿宋" w:cs="仿宋" w:hint="eastAsia"/>
          <w:szCs w:val="21"/>
          <w:lang w:val="en-US"/>
        </w:rPr>
        <w:t>2.商务评审表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122"/>
        <w:gridCol w:w="666"/>
        <w:gridCol w:w="4397"/>
        <w:gridCol w:w="593"/>
        <w:gridCol w:w="595"/>
        <w:gridCol w:w="591"/>
      </w:tblGrid>
      <w:tr w:rsidR="00382C66" w:rsidTr="00025B71">
        <w:trPr>
          <w:trHeight w:val="720"/>
        </w:trPr>
        <w:tc>
          <w:tcPr>
            <w:tcW w:w="327" w:type="pct"/>
            <w:vMerge w:val="restart"/>
            <w:vAlign w:val="center"/>
          </w:tcPr>
          <w:p w:rsidR="00382C66" w:rsidRDefault="00382C66" w:rsidP="00025B71">
            <w:pPr>
              <w:jc w:val="center"/>
              <w:outlineLvl w:val="0"/>
              <w:rPr>
                <w:rFonts w:ascii="仿宋" w:eastAsia="仿宋" w:hAnsi="仿宋" w:cs="仿宋"/>
                <w:b/>
                <w:szCs w:val="21"/>
              </w:rPr>
            </w:pPr>
            <w:bookmarkStart w:id="1" w:name="_Toc2517"/>
            <w:r>
              <w:rPr>
                <w:rFonts w:ascii="仿宋" w:eastAsia="仿宋" w:hAnsi="仿宋" w:cs="仿宋" w:hint="eastAsia"/>
                <w:b/>
                <w:szCs w:val="21"/>
              </w:rPr>
              <w:t>序号</w:t>
            </w:r>
            <w:bookmarkEnd w:id="1"/>
          </w:p>
        </w:tc>
        <w:tc>
          <w:tcPr>
            <w:tcW w:w="658" w:type="pct"/>
            <w:vMerge w:val="restart"/>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r>
              <w:rPr>
                <w:rFonts w:ascii="仿宋" w:eastAsia="仿宋" w:hAnsi="仿宋" w:cs="仿宋" w:hint="eastAsia"/>
                <w:b/>
                <w:szCs w:val="21"/>
              </w:rPr>
              <w:t>评审内容</w:t>
            </w:r>
          </w:p>
        </w:tc>
        <w:tc>
          <w:tcPr>
            <w:tcW w:w="391" w:type="pct"/>
            <w:vMerge w:val="restart"/>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r>
              <w:rPr>
                <w:rFonts w:ascii="仿宋" w:eastAsia="仿宋" w:hAnsi="仿宋" w:cs="仿宋" w:hint="eastAsia"/>
                <w:b/>
                <w:szCs w:val="21"/>
              </w:rPr>
              <w:t>分值</w:t>
            </w:r>
          </w:p>
        </w:tc>
        <w:tc>
          <w:tcPr>
            <w:tcW w:w="2579" w:type="pct"/>
            <w:vMerge w:val="restart"/>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r>
              <w:rPr>
                <w:rFonts w:ascii="仿宋" w:eastAsia="仿宋" w:hAnsi="仿宋" w:cs="仿宋" w:hint="eastAsia"/>
                <w:b/>
                <w:szCs w:val="21"/>
              </w:rPr>
              <w:t>评审细则</w:t>
            </w:r>
          </w:p>
        </w:tc>
        <w:tc>
          <w:tcPr>
            <w:tcW w:w="1043" w:type="pct"/>
            <w:gridSpan w:val="3"/>
            <w:vAlign w:val="center"/>
          </w:tcPr>
          <w:p w:rsidR="00382C66" w:rsidRDefault="00382C66" w:rsidP="00025B71">
            <w:pPr>
              <w:jc w:val="center"/>
              <w:outlineLvl w:val="0"/>
              <w:rPr>
                <w:rFonts w:ascii="仿宋" w:eastAsia="仿宋" w:hAnsi="仿宋" w:cs="仿宋"/>
                <w:b/>
                <w:szCs w:val="21"/>
              </w:rPr>
            </w:pPr>
            <w:bookmarkStart w:id="2" w:name="_Toc4250"/>
            <w:r>
              <w:rPr>
                <w:rFonts w:ascii="仿宋" w:eastAsia="仿宋" w:hAnsi="仿宋" w:cs="仿宋" w:hint="eastAsia"/>
                <w:b/>
                <w:szCs w:val="21"/>
              </w:rPr>
              <w:t>供应商单位名称</w:t>
            </w:r>
            <w:bookmarkEnd w:id="2"/>
          </w:p>
        </w:tc>
      </w:tr>
      <w:tr w:rsidR="00382C66" w:rsidTr="00025B71">
        <w:trPr>
          <w:trHeight w:val="206"/>
        </w:trPr>
        <w:tc>
          <w:tcPr>
            <w:tcW w:w="327" w:type="pct"/>
            <w:vMerge/>
            <w:vAlign w:val="center"/>
          </w:tcPr>
          <w:p w:rsidR="00382C66" w:rsidRDefault="00382C66" w:rsidP="00025B71">
            <w:pPr>
              <w:jc w:val="center"/>
              <w:outlineLvl w:val="0"/>
              <w:rPr>
                <w:rFonts w:ascii="仿宋" w:eastAsia="仿宋" w:hAnsi="仿宋" w:cs="仿宋"/>
                <w:b/>
                <w:szCs w:val="21"/>
              </w:rPr>
            </w:pPr>
          </w:p>
        </w:tc>
        <w:tc>
          <w:tcPr>
            <w:tcW w:w="658" w:type="pct"/>
            <w:vMerge/>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p>
        </w:tc>
        <w:tc>
          <w:tcPr>
            <w:tcW w:w="391" w:type="pct"/>
            <w:vMerge/>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p>
        </w:tc>
        <w:tc>
          <w:tcPr>
            <w:tcW w:w="2579" w:type="pct"/>
            <w:vMerge/>
            <w:vAlign w:val="center"/>
          </w:tcPr>
          <w:p w:rsidR="00382C66" w:rsidRDefault="00382C66" w:rsidP="00025B71">
            <w:pPr>
              <w:autoSpaceDE w:val="0"/>
              <w:autoSpaceDN w:val="0"/>
              <w:adjustRightInd w:val="0"/>
              <w:snapToGrid w:val="0"/>
              <w:ind w:right="34"/>
              <w:jc w:val="center"/>
              <w:outlineLvl w:val="1"/>
              <w:rPr>
                <w:rFonts w:ascii="仿宋" w:eastAsia="仿宋" w:hAnsi="仿宋" w:cs="仿宋"/>
                <w:b/>
                <w:szCs w:val="21"/>
              </w:rPr>
            </w:pPr>
          </w:p>
        </w:tc>
        <w:tc>
          <w:tcPr>
            <w:tcW w:w="348" w:type="pct"/>
            <w:vAlign w:val="center"/>
          </w:tcPr>
          <w:p w:rsidR="00382C66" w:rsidRDefault="00382C66" w:rsidP="00025B71">
            <w:pPr>
              <w:jc w:val="center"/>
              <w:outlineLvl w:val="0"/>
              <w:rPr>
                <w:rFonts w:ascii="仿宋" w:eastAsia="仿宋" w:hAnsi="仿宋" w:cs="仿宋"/>
                <w:b/>
                <w:szCs w:val="21"/>
              </w:rPr>
            </w:pPr>
          </w:p>
        </w:tc>
        <w:tc>
          <w:tcPr>
            <w:tcW w:w="348" w:type="pct"/>
            <w:vAlign w:val="center"/>
          </w:tcPr>
          <w:p w:rsidR="00382C66" w:rsidRDefault="00382C66" w:rsidP="00025B71">
            <w:pPr>
              <w:jc w:val="center"/>
              <w:outlineLvl w:val="0"/>
              <w:rPr>
                <w:rFonts w:ascii="仿宋" w:eastAsia="仿宋" w:hAnsi="仿宋" w:cs="仿宋"/>
                <w:b/>
                <w:szCs w:val="21"/>
              </w:rPr>
            </w:pPr>
          </w:p>
        </w:tc>
        <w:tc>
          <w:tcPr>
            <w:tcW w:w="347" w:type="pct"/>
            <w:vAlign w:val="center"/>
          </w:tcPr>
          <w:p w:rsidR="00382C66" w:rsidRDefault="00382C66" w:rsidP="00025B71">
            <w:pPr>
              <w:jc w:val="center"/>
              <w:outlineLvl w:val="0"/>
              <w:rPr>
                <w:rFonts w:ascii="仿宋" w:eastAsia="仿宋" w:hAnsi="仿宋" w:cs="仿宋"/>
                <w:b/>
                <w:szCs w:val="21"/>
              </w:rPr>
            </w:pPr>
          </w:p>
        </w:tc>
      </w:tr>
      <w:tr w:rsidR="00382C66" w:rsidTr="00025B71">
        <w:trPr>
          <w:trHeight w:val="2144"/>
        </w:trPr>
        <w:tc>
          <w:tcPr>
            <w:tcW w:w="327" w:type="pct"/>
            <w:vAlign w:val="center"/>
          </w:tcPr>
          <w:p w:rsidR="00382C66" w:rsidRDefault="00382C66" w:rsidP="00025B71">
            <w:pPr>
              <w:jc w:val="center"/>
              <w:outlineLvl w:val="0"/>
              <w:rPr>
                <w:rFonts w:ascii="仿宋" w:eastAsia="仿宋" w:hAnsi="仿宋" w:cs="仿宋"/>
                <w:b/>
                <w:szCs w:val="21"/>
              </w:rPr>
            </w:pPr>
            <w:r>
              <w:rPr>
                <w:rFonts w:ascii="仿宋" w:eastAsia="仿宋" w:hAnsi="仿宋" w:cs="仿宋" w:hint="eastAsia"/>
                <w:b/>
                <w:szCs w:val="21"/>
              </w:rPr>
              <w:t>1</w:t>
            </w:r>
          </w:p>
        </w:tc>
        <w:tc>
          <w:tcPr>
            <w:tcW w:w="658"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企业综合实力</w:t>
            </w:r>
          </w:p>
        </w:tc>
        <w:tc>
          <w:tcPr>
            <w:tcW w:w="391"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4</w:t>
            </w:r>
          </w:p>
        </w:tc>
        <w:tc>
          <w:tcPr>
            <w:tcW w:w="2579" w:type="pct"/>
            <w:vAlign w:val="center"/>
          </w:tcPr>
          <w:p w:rsidR="00382C66" w:rsidRDefault="00382C66" w:rsidP="00025B71">
            <w:pPr>
              <w:numPr>
                <w:ilvl w:val="0"/>
                <w:numId w:val="1"/>
              </w:numPr>
              <w:outlineLvl w:val="0"/>
              <w:rPr>
                <w:rFonts w:ascii="仿宋" w:eastAsia="仿宋" w:hAnsi="仿宋" w:cs="仿宋"/>
                <w:bCs/>
                <w:szCs w:val="21"/>
              </w:rPr>
            </w:pPr>
            <w:bookmarkStart w:id="3" w:name="_Toc32643"/>
            <w:r>
              <w:rPr>
                <w:rFonts w:ascii="仿宋" w:eastAsia="仿宋" w:hAnsi="仿宋" w:cs="仿宋" w:hint="eastAsia"/>
                <w:bCs/>
                <w:szCs w:val="21"/>
              </w:rPr>
              <w:t>企业获得银行资信证明得4分。</w:t>
            </w:r>
            <w:bookmarkEnd w:id="3"/>
          </w:p>
          <w:p w:rsidR="00382C66" w:rsidRDefault="00382C66" w:rsidP="00025B71">
            <w:pPr>
              <w:outlineLvl w:val="0"/>
              <w:rPr>
                <w:rFonts w:ascii="仿宋" w:eastAsia="仿宋" w:hAnsi="仿宋" w:cs="仿宋"/>
                <w:bCs/>
                <w:szCs w:val="21"/>
              </w:rPr>
            </w:pPr>
            <w:bookmarkStart w:id="4" w:name="_Toc7766"/>
            <w:r>
              <w:rPr>
                <w:rFonts w:ascii="仿宋" w:eastAsia="仿宋" w:hAnsi="仿宋" w:cs="仿宋" w:hint="eastAsia"/>
                <w:bCs/>
                <w:szCs w:val="21"/>
              </w:rPr>
              <w:t>注：提供相关证明材料复印件（加盖公章）</w:t>
            </w:r>
            <w:bookmarkEnd w:id="4"/>
          </w:p>
        </w:tc>
        <w:tc>
          <w:tcPr>
            <w:tcW w:w="346" w:type="pct"/>
          </w:tcPr>
          <w:p w:rsidR="00382C66" w:rsidRDefault="00382C66" w:rsidP="00025B71">
            <w:pPr>
              <w:jc w:val="center"/>
              <w:outlineLvl w:val="0"/>
              <w:rPr>
                <w:rFonts w:ascii="仿宋" w:eastAsia="仿宋" w:hAnsi="仿宋" w:cs="仿宋"/>
                <w:bCs/>
                <w:szCs w:val="21"/>
              </w:rPr>
            </w:pPr>
          </w:p>
        </w:tc>
        <w:tc>
          <w:tcPr>
            <w:tcW w:w="349" w:type="pct"/>
          </w:tcPr>
          <w:p w:rsidR="00382C66" w:rsidRDefault="00382C66" w:rsidP="00025B71">
            <w:pPr>
              <w:jc w:val="center"/>
              <w:outlineLvl w:val="0"/>
              <w:rPr>
                <w:rFonts w:ascii="仿宋" w:eastAsia="仿宋" w:hAnsi="仿宋" w:cs="仿宋"/>
                <w:bCs/>
                <w:szCs w:val="21"/>
              </w:rPr>
            </w:pPr>
          </w:p>
        </w:tc>
        <w:tc>
          <w:tcPr>
            <w:tcW w:w="347" w:type="pct"/>
          </w:tcPr>
          <w:p w:rsidR="00382C66" w:rsidRDefault="00382C66" w:rsidP="00025B71">
            <w:pPr>
              <w:jc w:val="center"/>
              <w:outlineLvl w:val="0"/>
              <w:rPr>
                <w:rFonts w:ascii="仿宋" w:eastAsia="仿宋" w:hAnsi="仿宋" w:cs="仿宋"/>
                <w:bCs/>
                <w:szCs w:val="21"/>
              </w:rPr>
            </w:pPr>
          </w:p>
        </w:tc>
      </w:tr>
      <w:tr w:rsidR="00382C66" w:rsidTr="00025B71">
        <w:trPr>
          <w:trHeight w:val="733"/>
        </w:trPr>
        <w:tc>
          <w:tcPr>
            <w:tcW w:w="327" w:type="pct"/>
            <w:vAlign w:val="center"/>
          </w:tcPr>
          <w:p w:rsidR="00382C66" w:rsidRDefault="00382C66" w:rsidP="00025B71">
            <w:pPr>
              <w:jc w:val="center"/>
              <w:outlineLvl w:val="0"/>
              <w:rPr>
                <w:rFonts w:ascii="仿宋" w:eastAsia="仿宋" w:hAnsi="仿宋" w:cs="仿宋"/>
                <w:b/>
                <w:szCs w:val="21"/>
              </w:rPr>
            </w:pPr>
            <w:r>
              <w:rPr>
                <w:rFonts w:ascii="仿宋" w:eastAsia="仿宋" w:hAnsi="仿宋" w:cs="仿宋" w:hint="eastAsia"/>
                <w:b/>
                <w:szCs w:val="21"/>
              </w:rPr>
              <w:t>2</w:t>
            </w:r>
          </w:p>
        </w:tc>
        <w:tc>
          <w:tcPr>
            <w:tcW w:w="658"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类似项目业绩</w:t>
            </w:r>
          </w:p>
        </w:tc>
        <w:tc>
          <w:tcPr>
            <w:tcW w:w="391"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6</w:t>
            </w:r>
          </w:p>
        </w:tc>
        <w:tc>
          <w:tcPr>
            <w:tcW w:w="2579" w:type="pct"/>
            <w:vAlign w:val="center"/>
          </w:tcPr>
          <w:p w:rsidR="00382C66" w:rsidRDefault="00382C66" w:rsidP="00025B71">
            <w:pPr>
              <w:outlineLvl w:val="0"/>
              <w:rPr>
                <w:rFonts w:ascii="仿宋" w:eastAsia="仿宋" w:hAnsi="仿宋" w:cs="仿宋"/>
                <w:bCs/>
                <w:szCs w:val="21"/>
              </w:rPr>
            </w:pPr>
            <w:r>
              <w:rPr>
                <w:rFonts w:hAnsi="宋体" w:hint="eastAsia"/>
                <w:color w:val="000000"/>
                <w:szCs w:val="21"/>
              </w:rPr>
              <w:t>20</w:t>
            </w:r>
            <w:r>
              <w:rPr>
                <w:rFonts w:eastAsia="宋体" w:hAnsi="宋体" w:hint="eastAsia"/>
                <w:color w:val="000000"/>
                <w:szCs w:val="21"/>
              </w:rPr>
              <w:t>19</w:t>
            </w:r>
            <w:r>
              <w:rPr>
                <w:rFonts w:hAnsi="宋体" w:hint="eastAsia"/>
                <w:color w:val="000000"/>
                <w:szCs w:val="21"/>
              </w:rPr>
              <w:t>年至今完成过该地区类似电力咨询或设计业绩的每个得</w:t>
            </w:r>
            <w:r>
              <w:rPr>
                <w:rFonts w:eastAsia="宋体" w:hAnsi="宋体" w:hint="eastAsia"/>
                <w:color w:val="000000"/>
                <w:szCs w:val="21"/>
              </w:rPr>
              <w:t>3</w:t>
            </w:r>
            <w:r>
              <w:rPr>
                <w:rFonts w:hAnsi="宋体" w:hint="eastAsia"/>
                <w:color w:val="000000"/>
                <w:szCs w:val="21"/>
              </w:rPr>
              <w:t>分，最多得</w:t>
            </w:r>
            <w:r>
              <w:rPr>
                <w:rFonts w:hAnsi="宋体" w:hint="eastAsia"/>
                <w:color w:val="000000"/>
                <w:szCs w:val="21"/>
              </w:rPr>
              <w:t>6</w:t>
            </w:r>
            <w:r>
              <w:rPr>
                <w:rFonts w:hAnsi="宋体" w:hint="eastAsia"/>
                <w:color w:val="000000"/>
                <w:szCs w:val="21"/>
              </w:rPr>
              <w:t>分（提供合同复印件，时间以合同签订日期为准）</w:t>
            </w:r>
          </w:p>
        </w:tc>
        <w:tc>
          <w:tcPr>
            <w:tcW w:w="346" w:type="pct"/>
          </w:tcPr>
          <w:p w:rsidR="00382C66" w:rsidRDefault="00382C66" w:rsidP="00025B71">
            <w:pPr>
              <w:jc w:val="center"/>
              <w:outlineLvl w:val="0"/>
              <w:rPr>
                <w:rFonts w:ascii="仿宋" w:eastAsia="仿宋" w:hAnsi="仿宋" w:cs="仿宋"/>
                <w:bCs/>
                <w:szCs w:val="21"/>
              </w:rPr>
            </w:pPr>
          </w:p>
        </w:tc>
        <w:tc>
          <w:tcPr>
            <w:tcW w:w="349" w:type="pct"/>
          </w:tcPr>
          <w:p w:rsidR="00382C66" w:rsidRDefault="00382C66" w:rsidP="00025B71">
            <w:pPr>
              <w:jc w:val="center"/>
              <w:outlineLvl w:val="0"/>
              <w:rPr>
                <w:rFonts w:ascii="仿宋" w:eastAsia="仿宋" w:hAnsi="仿宋" w:cs="仿宋"/>
                <w:bCs/>
                <w:szCs w:val="21"/>
              </w:rPr>
            </w:pPr>
          </w:p>
        </w:tc>
        <w:tc>
          <w:tcPr>
            <w:tcW w:w="347" w:type="pct"/>
          </w:tcPr>
          <w:p w:rsidR="00382C66" w:rsidRDefault="00382C66" w:rsidP="00025B71">
            <w:pPr>
              <w:jc w:val="center"/>
              <w:outlineLvl w:val="0"/>
              <w:rPr>
                <w:rFonts w:ascii="仿宋" w:eastAsia="仿宋" w:hAnsi="仿宋" w:cs="仿宋"/>
                <w:bCs/>
                <w:szCs w:val="21"/>
              </w:rPr>
            </w:pPr>
          </w:p>
        </w:tc>
      </w:tr>
      <w:tr w:rsidR="00382C66" w:rsidTr="00025B71">
        <w:tc>
          <w:tcPr>
            <w:tcW w:w="327" w:type="pct"/>
            <w:vAlign w:val="center"/>
          </w:tcPr>
          <w:p w:rsidR="00382C66" w:rsidRDefault="00382C66" w:rsidP="00025B71">
            <w:pPr>
              <w:jc w:val="center"/>
              <w:outlineLvl w:val="0"/>
              <w:rPr>
                <w:rFonts w:ascii="仿宋" w:eastAsia="仿宋" w:hAnsi="仿宋" w:cs="仿宋"/>
                <w:b/>
                <w:szCs w:val="21"/>
              </w:rPr>
            </w:pPr>
            <w:r>
              <w:rPr>
                <w:rFonts w:ascii="仿宋" w:eastAsia="仿宋" w:hAnsi="仿宋" w:cs="仿宋" w:hint="eastAsia"/>
                <w:b/>
                <w:szCs w:val="21"/>
              </w:rPr>
              <w:t>3</w:t>
            </w:r>
          </w:p>
        </w:tc>
        <w:tc>
          <w:tcPr>
            <w:tcW w:w="658"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企业获奖情况</w:t>
            </w:r>
          </w:p>
        </w:tc>
        <w:tc>
          <w:tcPr>
            <w:tcW w:w="391"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10</w:t>
            </w:r>
          </w:p>
        </w:tc>
        <w:tc>
          <w:tcPr>
            <w:tcW w:w="2579" w:type="pct"/>
            <w:vAlign w:val="center"/>
          </w:tcPr>
          <w:p w:rsidR="00382C66" w:rsidRDefault="00382C66" w:rsidP="00025B71">
            <w:pPr>
              <w:outlineLvl w:val="0"/>
              <w:rPr>
                <w:rFonts w:ascii="仿宋" w:eastAsia="仿宋" w:hAnsi="仿宋" w:cs="仿宋"/>
                <w:bCs/>
                <w:szCs w:val="21"/>
              </w:rPr>
            </w:pPr>
            <w:r>
              <w:rPr>
                <w:rFonts w:hAnsi="宋体" w:hint="eastAsia"/>
                <w:color w:val="000000"/>
                <w:szCs w:val="21"/>
              </w:rPr>
              <w:t>2015</w:t>
            </w:r>
            <w:r>
              <w:rPr>
                <w:rFonts w:hAnsi="宋体" w:hint="eastAsia"/>
                <w:color w:val="000000"/>
                <w:szCs w:val="21"/>
              </w:rPr>
              <w:t>年至今完成过类似电力设计项目获省级电网企业奖项的每个</w:t>
            </w:r>
            <w:r>
              <w:rPr>
                <w:rFonts w:hAnsi="宋体" w:hint="eastAsia"/>
                <w:color w:val="000000"/>
                <w:szCs w:val="21"/>
              </w:rPr>
              <w:t>2</w:t>
            </w:r>
            <w:r>
              <w:rPr>
                <w:rFonts w:hAnsi="宋体" w:hint="eastAsia"/>
                <w:color w:val="000000"/>
                <w:szCs w:val="21"/>
              </w:rPr>
              <w:t>分，获得市级电网奖项一等奖项目，每个</w:t>
            </w:r>
            <w:r>
              <w:rPr>
                <w:rFonts w:hAnsi="宋体" w:hint="eastAsia"/>
                <w:color w:val="000000"/>
                <w:szCs w:val="21"/>
              </w:rPr>
              <w:t>1</w:t>
            </w:r>
            <w:r>
              <w:rPr>
                <w:rFonts w:hAnsi="宋体" w:hint="eastAsia"/>
                <w:color w:val="000000"/>
                <w:szCs w:val="21"/>
              </w:rPr>
              <w:t>分，二等奖项目每个</w:t>
            </w:r>
            <w:r>
              <w:rPr>
                <w:rFonts w:hAnsi="宋体" w:hint="eastAsia"/>
                <w:color w:val="000000"/>
                <w:szCs w:val="21"/>
              </w:rPr>
              <w:t>0.5</w:t>
            </w:r>
            <w:r>
              <w:rPr>
                <w:rFonts w:hAnsi="宋体" w:hint="eastAsia"/>
                <w:color w:val="000000"/>
                <w:szCs w:val="21"/>
              </w:rPr>
              <w:t>分，三等奖项目每个</w:t>
            </w:r>
            <w:r>
              <w:rPr>
                <w:rFonts w:hAnsi="宋体" w:hint="eastAsia"/>
                <w:color w:val="000000"/>
                <w:szCs w:val="21"/>
              </w:rPr>
              <w:t>0.25</w:t>
            </w:r>
            <w:r>
              <w:rPr>
                <w:rFonts w:hAnsi="宋体" w:hint="eastAsia"/>
                <w:color w:val="000000"/>
                <w:szCs w:val="21"/>
              </w:rPr>
              <w:t>分，累计最多的</w:t>
            </w:r>
            <w:r>
              <w:rPr>
                <w:rFonts w:hAnsi="宋体" w:hint="eastAsia"/>
                <w:color w:val="000000"/>
                <w:szCs w:val="21"/>
              </w:rPr>
              <w:t>10</w:t>
            </w:r>
            <w:r>
              <w:rPr>
                <w:rFonts w:hAnsi="宋体" w:hint="eastAsia"/>
                <w:color w:val="000000"/>
                <w:szCs w:val="21"/>
              </w:rPr>
              <w:t>分。时间以奖项颁发时间为准。</w:t>
            </w:r>
            <w:r>
              <w:rPr>
                <w:rFonts w:ascii="仿宋" w:eastAsia="仿宋" w:hAnsi="仿宋" w:cs="仿宋" w:hint="eastAsia"/>
                <w:szCs w:val="21"/>
                <w:lang w:bidi="ar"/>
              </w:rPr>
              <w:t>以上奖项合计最多得10分。</w:t>
            </w:r>
          </w:p>
        </w:tc>
        <w:tc>
          <w:tcPr>
            <w:tcW w:w="346" w:type="pct"/>
          </w:tcPr>
          <w:p w:rsidR="00382C66" w:rsidRDefault="00382C66" w:rsidP="00025B71">
            <w:pPr>
              <w:jc w:val="center"/>
              <w:outlineLvl w:val="0"/>
              <w:rPr>
                <w:rFonts w:ascii="仿宋" w:eastAsia="仿宋" w:hAnsi="仿宋" w:cs="仿宋"/>
                <w:bCs/>
                <w:szCs w:val="21"/>
              </w:rPr>
            </w:pPr>
          </w:p>
        </w:tc>
        <w:tc>
          <w:tcPr>
            <w:tcW w:w="349" w:type="pct"/>
          </w:tcPr>
          <w:p w:rsidR="00382C66" w:rsidRDefault="00382C66" w:rsidP="00025B71">
            <w:pPr>
              <w:jc w:val="center"/>
              <w:outlineLvl w:val="0"/>
              <w:rPr>
                <w:rFonts w:ascii="仿宋" w:eastAsia="仿宋" w:hAnsi="仿宋" w:cs="仿宋"/>
                <w:bCs/>
                <w:szCs w:val="21"/>
              </w:rPr>
            </w:pPr>
          </w:p>
        </w:tc>
        <w:tc>
          <w:tcPr>
            <w:tcW w:w="347" w:type="pct"/>
          </w:tcPr>
          <w:p w:rsidR="00382C66" w:rsidRDefault="00382C66" w:rsidP="00025B71">
            <w:pPr>
              <w:jc w:val="center"/>
              <w:outlineLvl w:val="0"/>
              <w:rPr>
                <w:rFonts w:ascii="仿宋" w:eastAsia="仿宋" w:hAnsi="仿宋" w:cs="仿宋"/>
                <w:bCs/>
                <w:szCs w:val="21"/>
              </w:rPr>
            </w:pPr>
          </w:p>
        </w:tc>
      </w:tr>
      <w:tr w:rsidR="00382C66" w:rsidTr="00025B71">
        <w:tc>
          <w:tcPr>
            <w:tcW w:w="327" w:type="pct"/>
            <w:vAlign w:val="center"/>
          </w:tcPr>
          <w:p w:rsidR="00382C66" w:rsidRDefault="00382C66" w:rsidP="00025B71">
            <w:pPr>
              <w:jc w:val="center"/>
              <w:outlineLvl w:val="0"/>
              <w:rPr>
                <w:rFonts w:ascii="仿宋" w:eastAsia="仿宋" w:hAnsi="仿宋" w:cs="仿宋"/>
                <w:b/>
                <w:szCs w:val="21"/>
              </w:rPr>
            </w:pPr>
            <w:r>
              <w:rPr>
                <w:rFonts w:ascii="仿宋" w:eastAsia="仿宋" w:hAnsi="仿宋" w:cs="仿宋" w:hint="eastAsia"/>
                <w:b/>
                <w:szCs w:val="21"/>
              </w:rPr>
              <w:t>4</w:t>
            </w:r>
          </w:p>
        </w:tc>
        <w:tc>
          <w:tcPr>
            <w:tcW w:w="658" w:type="pct"/>
            <w:vAlign w:val="center"/>
          </w:tcPr>
          <w:p w:rsidR="00382C66" w:rsidRDefault="00382C66" w:rsidP="00025B71">
            <w:pPr>
              <w:jc w:val="center"/>
              <w:outlineLvl w:val="0"/>
              <w:rPr>
                <w:rFonts w:ascii="仿宋" w:eastAsia="仿宋" w:hAnsi="仿宋" w:cs="仿宋"/>
                <w:bCs/>
                <w:szCs w:val="21"/>
              </w:rPr>
            </w:pPr>
            <w:bookmarkStart w:id="5" w:name="_Toc5214"/>
            <w:r>
              <w:rPr>
                <w:rFonts w:ascii="仿宋" w:eastAsia="仿宋" w:hAnsi="仿宋" w:cs="仿宋" w:hint="eastAsia"/>
                <w:bCs/>
                <w:szCs w:val="21"/>
              </w:rPr>
              <w:t>合计</w:t>
            </w:r>
            <w:bookmarkEnd w:id="5"/>
          </w:p>
        </w:tc>
        <w:tc>
          <w:tcPr>
            <w:tcW w:w="391" w:type="pct"/>
            <w:vAlign w:val="center"/>
          </w:tcPr>
          <w:p w:rsidR="00382C66" w:rsidRDefault="00382C66" w:rsidP="00025B71">
            <w:pPr>
              <w:jc w:val="center"/>
              <w:outlineLvl w:val="0"/>
              <w:rPr>
                <w:rFonts w:ascii="仿宋" w:eastAsia="仿宋" w:hAnsi="仿宋" w:cs="仿宋"/>
                <w:bCs/>
                <w:szCs w:val="21"/>
              </w:rPr>
            </w:pPr>
            <w:r>
              <w:rPr>
                <w:rFonts w:ascii="仿宋" w:eastAsia="仿宋" w:hAnsi="仿宋" w:cs="仿宋" w:hint="eastAsia"/>
                <w:bCs/>
                <w:szCs w:val="21"/>
              </w:rPr>
              <w:t>20</w:t>
            </w:r>
          </w:p>
        </w:tc>
        <w:tc>
          <w:tcPr>
            <w:tcW w:w="2579" w:type="pct"/>
            <w:vAlign w:val="center"/>
          </w:tcPr>
          <w:p w:rsidR="00382C66" w:rsidRDefault="00382C66" w:rsidP="00025B71">
            <w:pPr>
              <w:jc w:val="center"/>
              <w:outlineLvl w:val="0"/>
              <w:rPr>
                <w:rFonts w:ascii="仿宋" w:eastAsia="仿宋" w:hAnsi="仿宋" w:cs="仿宋"/>
                <w:bCs/>
                <w:szCs w:val="21"/>
              </w:rPr>
            </w:pPr>
            <w:bookmarkStart w:id="6" w:name="_Toc15315"/>
            <w:r>
              <w:rPr>
                <w:rFonts w:ascii="仿宋" w:eastAsia="仿宋" w:hAnsi="仿宋" w:cs="仿宋" w:hint="eastAsia"/>
                <w:bCs/>
                <w:szCs w:val="21"/>
              </w:rPr>
              <w:t>/</w:t>
            </w:r>
            <w:bookmarkEnd w:id="6"/>
          </w:p>
        </w:tc>
        <w:tc>
          <w:tcPr>
            <w:tcW w:w="346" w:type="pct"/>
          </w:tcPr>
          <w:p w:rsidR="00382C66" w:rsidRDefault="00382C66" w:rsidP="00025B71">
            <w:pPr>
              <w:jc w:val="center"/>
              <w:outlineLvl w:val="0"/>
              <w:rPr>
                <w:rFonts w:ascii="仿宋" w:eastAsia="仿宋" w:hAnsi="仿宋" w:cs="仿宋"/>
                <w:bCs/>
                <w:szCs w:val="21"/>
              </w:rPr>
            </w:pPr>
          </w:p>
        </w:tc>
        <w:tc>
          <w:tcPr>
            <w:tcW w:w="349" w:type="pct"/>
          </w:tcPr>
          <w:p w:rsidR="00382C66" w:rsidRDefault="00382C66" w:rsidP="00025B71">
            <w:pPr>
              <w:jc w:val="center"/>
              <w:outlineLvl w:val="0"/>
              <w:rPr>
                <w:rFonts w:ascii="仿宋" w:eastAsia="仿宋" w:hAnsi="仿宋" w:cs="仿宋"/>
                <w:bCs/>
                <w:szCs w:val="21"/>
              </w:rPr>
            </w:pPr>
          </w:p>
        </w:tc>
        <w:tc>
          <w:tcPr>
            <w:tcW w:w="347" w:type="pct"/>
          </w:tcPr>
          <w:p w:rsidR="00382C66" w:rsidRDefault="00382C66" w:rsidP="00025B71">
            <w:pPr>
              <w:jc w:val="center"/>
              <w:outlineLvl w:val="0"/>
              <w:rPr>
                <w:rFonts w:ascii="仿宋" w:eastAsia="仿宋" w:hAnsi="仿宋" w:cs="仿宋"/>
                <w:bCs/>
                <w:szCs w:val="21"/>
              </w:rPr>
            </w:pPr>
          </w:p>
        </w:tc>
      </w:tr>
    </w:tbl>
    <w:tbl>
      <w:tblPr>
        <w:tblStyle w:val="a5"/>
        <w:tblpPr w:leftFromText="180" w:rightFromText="180" w:vertAnchor="text" w:tblpX="10313" w:tblpY="-6295"/>
        <w:tblOverlap w:val="never"/>
        <w:tblW w:w="331" w:type="pct"/>
        <w:tblLook w:val="04A0" w:firstRow="1" w:lastRow="0" w:firstColumn="1" w:lastColumn="0" w:noHBand="0" w:noVBand="1"/>
      </w:tblPr>
      <w:tblGrid>
        <w:gridCol w:w="564"/>
      </w:tblGrid>
      <w:tr w:rsidR="00382C66" w:rsidTr="00025B71">
        <w:trPr>
          <w:trHeight w:val="30"/>
        </w:trPr>
        <w:tc>
          <w:tcPr>
            <w:tcW w:w="5000" w:type="pct"/>
          </w:tcPr>
          <w:p w:rsidR="00382C66" w:rsidRDefault="00382C66" w:rsidP="00025B71">
            <w:pPr>
              <w:pStyle w:val="3"/>
              <w:spacing w:afterLines="0" w:after="0" w:line="240" w:lineRule="auto"/>
              <w:jc w:val="left"/>
              <w:outlineLvl w:val="2"/>
              <w:rPr>
                <w:rFonts w:ascii="仿宋" w:eastAsia="仿宋" w:hAnsi="仿宋" w:cs="仿宋"/>
                <w:szCs w:val="21"/>
                <w:lang w:val="en-US"/>
              </w:rPr>
            </w:pPr>
          </w:p>
        </w:tc>
      </w:tr>
    </w:tbl>
    <w:p w:rsidR="00382C66" w:rsidRDefault="00382C66" w:rsidP="00382C66">
      <w:pPr>
        <w:pStyle w:val="3"/>
        <w:spacing w:afterLines="0" w:after="0" w:line="240" w:lineRule="auto"/>
        <w:jc w:val="left"/>
        <w:rPr>
          <w:rFonts w:ascii="仿宋" w:eastAsia="仿宋" w:hAnsi="仿宋" w:cs="仿宋"/>
          <w:szCs w:val="21"/>
        </w:rPr>
      </w:pPr>
      <w:r>
        <w:rPr>
          <w:rFonts w:ascii="仿宋" w:eastAsia="仿宋" w:hAnsi="仿宋" w:cs="仿宋" w:hint="eastAsia"/>
          <w:szCs w:val="21"/>
          <w:lang w:val="en-US"/>
        </w:rPr>
        <w:t>3.</w:t>
      </w:r>
      <w:r>
        <w:rPr>
          <w:rFonts w:ascii="仿宋" w:eastAsia="仿宋" w:hAnsi="仿宋" w:cs="仿宋" w:hint="eastAsia"/>
          <w:szCs w:val="21"/>
        </w:rPr>
        <w:t>价格评分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22"/>
        <w:gridCol w:w="5079"/>
        <w:gridCol w:w="1050"/>
      </w:tblGrid>
      <w:tr w:rsidR="00382C66" w:rsidTr="00025B71">
        <w:trPr>
          <w:trHeight w:val="510"/>
          <w:jc w:val="center"/>
        </w:trPr>
        <w:tc>
          <w:tcPr>
            <w:tcW w:w="509" w:type="pct"/>
            <w:vAlign w:val="center"/>
          </w:tcPr>
          <w:p w:rsidR="00382C66" w:rsidRDefault="00382C66" w:rsidP="00025B71">
            <w:pPr>
              <w:autoSpaceDE w:val="0"/>
              <w:autoSpaceDN w:val="0"/>
              <w:adjustRightInd w:val="0"/>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序号</w:t>
            </w:r>
          </w:p>
        </w:tc>
        <w:tc>
          <w:tcPr>
            <w:tcW w:w="893" w:type="pct"/>
            <w:vAlign w:val="center"/>
          </w:tcPr>
          <w:p w:rsidR="00382C66" w:rsidRDefault="00382C66" w:rsidP="00025B71">
            <w:pPr>
              <w:autoSpaceDE w:val="0"/>
              <w:autoSpaceDN w:val="0"/>
              <w:adjustRightInd w:val="0"/>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评审内容</w:t>
            </w:r>
          </w:p>
        </w:tc>
        <w:tc>
          <w:tcPr>
            <w:tcW w:w="2980" w:type="pct"/>
            <w:vAlign w:val="center"/>
          </w:tcPr>
          <w:p w:rsidR="00382C66" w:rsidRDefault="00382C66" w:rsidP="00025B71">
            <w:pPr>
              <w:autoSpaceDE w:val="0"/>
              <w:autoSpaceDN w:val="0"/>
              <w:adjustRightInd w:val="0"/>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评分细则</w:t>
            </w:r>
          </w:p>
        </w:tc>
        <w:tc>
          <w:tcPr>
            <w:tcW w:w="616" w:type="pct"/>
            <w:vAlign w:val="center"/>
          </w:tcPr>
          <w:p w:rsidR="00382C66" w:rsidRDefault="00382C66" w:rsidP="00025B71">
            <w:pPr>
              <w:autoSpaceDE w:val="0"/>
              <w:autoSpaceDN w:val="0"/>
              <w:adjustRightInd w:val="0"/>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分值（30）</w:t>
            </w:r>
          </w:p>
        </w:tc>
      </w:tr>
      <w:tr w:rsidR="00382C66" w:rsidTr="00025B71">
        <w:trPr>
          <w:trHeight w:val="1233"/>
          <w:jc w:val="center"/>
        </w:trPr>
        <w:tc>
          <w:tcPr>
            <w:tcW w:w="509" w:type="pct"/>
            <w:vAlign w:val="center"/>
          </w:tcPr>
          <w:p w:rsidR="00382C66" w:rsidRDefault="00382C66" w:rsidP="00025B71">
            <w:pPr>
              <w:autoSpaceDE w:val="0"/>
              <w:autoSpaceDN w:val="0"/>
              <w:adjustRightInd w:val="0"/>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893" w:type="pct"/>
            <w:vAlign w:val="center"/>
          </w:tcPr>
          <w:p w:rsidR="00382C66" w:rsidRDefault="00382C66" w:rsidP="00025B71">
            <w:pPr>
              <w:autoSpaceDE w:val="0"/>
              <w:autoSpaceDN w:val="0"/>
              <w:adjustRightInd w:val="0"/>
              <w:jc w:val="center"/>
              <w:rPr>
                <w:rFonts w:ascii="仿宋" w:eastAsia="仿宋" w:hAnsi="仿宋" w:cs="仿宋"/>
                <w:color w:val="000000"/>
                <w:sz w:val="21"/>
                <w:szCs w:val="21"/>
              </w:rPr>
            </w:pPr>
            <w:r>
              <w:rPr>
                <w:rFonts w:ascii="仿宋" w:eastAsia="仿宋" w:hAnsi="仿宋" w:cs="仿宋" w:hint="eastAsia"/>
                <w:color w:val="000000"/>
                <w:sz w:val="21"/>
                <w:szCs w:val="21"/>
              </w:rPr>
              <w:t>价格</w:t>
            </w:r>
          </w:p>
        </w:tc>
        <w:tc>
          <w:tcPr>
            <w:tcW w:w="2980" w:type="pct"/>
            <w:tcBorders>
              <w:bottom w:val="single" w:sz="4" w:space="0" w:color="auto"/>
            </w:tcBorders>
            <w:vAlign w:val="center"/>
          </w:tcPr>
          <w:p w:rsidR="00382C66" w:rsidRDefault="00382C66" w:rsidP="00025B71">
            <w:pPr>
              <w:autoSpaceDE w:val="0"/>
              <w:autoSpaceDN w:val="0"/>
              <w:adjustRightInd w:val="0"/>
              <w:jc w:val="center"/>
              <w:rPr>
                <w:rFonts w:ascii="仿宋" w:eastAsia="仿宋" w:hAnsi="仿宋" w:cs="仿宋"/>
                <w:color w:val="000000"/>
                <w:sz w:val="21"/>
                <w:szCs w:val="21"/>
              </w:rPr>
            </w:pPr>
            <w:r>
              <w:rPr>
                <w:rFonts w:ascii="仿宋" w:eastAsia="仿宋" w:hAnsi="仿宋" w:cs="仿宋" w:hint="eastAsia"/>
                <w:color w:val="000000"/>
                <w:sz w:val="21"/>
                <w:szCs w:val="21"/>
              </w:rPr>
              <w:t>价格分是以满足招标文件要求且投标报价最低的报价为评标基准价，各投标人的价格分则按比例算出。</w:t>
            </w:r>
          </w:p>
          <w:p w:rsidR="00382C66" w:rsidRDefault="00382C66" w:rsidP="00025B71">
            <w:pPr>
              <w:autoSpaceDE w:val="0"/>
              <w:autoSpaceDN w:val="0"/>
              <w:adjustRightInd w:val="0"/>
              <w:jc w:val="center"/>
              <w:rPr>
                <w:rFonts w:ascii="仿宋" w:eastAsia="仿宋" w:hAnsi="仿宋" w:cs="仿宋"/>
                <w:color w:val="000000"/>
                <w:sz w:val="21"/>
                <w:szCs w:val="21"/>
              </w:rPr>
            </w:pPr>
            <w:r>
              <w:rPr>
                <w:rFonts w:ascii="仿宋" w:eastAsia="仿宋" w:hAnsi="仿宋" w:cs="仿宋" w:hint="eastAsia"/>
                <w:color w:val="000000"/>
                <w:sz w:val="21"/>
                <w:szCs w:val="21"/>
              </w:rPr>
              <w:t>价格分＝（评标基准价/投标报价）×30</w:t>
            </w:r>
          </w:p>
        </w:tc>
        <w:tc>
          <w:tcPr>
            <w:tcW w:w="616" w:type="pct"/>
            <w:tcBorders>
              <w:bottom w:val="single" w:sz="4" w:space="0" w:color="auto"/>
            </w:tcBorders>
            <w:vAlign w:val="center"/>
          </w:tcPr>
          <w:p w:rsidR="00382C66" w:rsidRDefault="00382C66" w:rsidP="00025B71">
            <w:pPr>
              <w:jc w:val="center"/>
              <w:rPr>
                <w:rFonts w:ascii="仿宋" w:eastAsia="仿宋" w:hAnsi="仿宋" w:cs="仿宋"/>
                <w:sz w:val="21"/>
                <w:szCs w:val="21"/>
              </w:rPr>
            </w:pPr>
            <w:r>
              <w:rPr>
                <w:rFonts w:ascii="仿宋" w:eastAsia="仿宋" w:hAnsi="仿宋" w:cs="仿宋" w:hint="eastAsia"/>
                <w:color w:val="000000"/>
                <w:sz w:val="21"/>
                <w:szCs w:val="21"/>
              </w:rPr>
              <w:t>30</w:t>
            </w:r>
          </w:p>
        </w:tc>
      </w:tr>
    </w:tbl>
    <w:p w:rsidR="00BA2133" w:rsidRDefault="00BA2133"/>
    <w:sectPr w:rsidR="00BA2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58" w:rsidRDefault="00EC0258" w:rsidP="00382C66">
      <w:r>
        <w:separator/>
      </w:r>
    </w:p>
  </w:endnote>
  <w:endnote w:type="continuationSeparator" w:id="0">
    <w:p w:rsidR="00EC0258" w:rsidRDefault="00EC0258" w:rsidP="0038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58" w:rsidRDefault="00EC0258" w:rsidP="00382C66">
      <w:r>
        <w:separator/>
      </w:r>
    </w:p>
  </w:footnote>
  <w:footnote w:type="continuationSeparator" w:id="0">
    <w:p w:rsidR="00EC0258" w:rsidRDefault="00EC0258" w:rsidP="00382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75F5"/>
    <w:multiLevelType w:val="singleLevel"/>
    <w:tmpl w:val="59F075F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B6"/>
    <w:rsid w:val="00382C66"/>
    <w:rsid w:val="00BA2133"/>
    <w:rsid w:val="00EC0258"/>
    <w:rsid w:val="00ED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82C66"/>
    <w:pPr>
      <w:widowControl w:val="0"/>
      <w:jc w:val="both"/>
    </w:pPr>
    <w:rPr>
      <w:rFonts w:ascii="宋体" w:eastAsia="Calibri" w:hAnsi="Calibri" w:cs="Times New Roman"/>
      <w:kern w:val="0"/>
      <w:sz w:val="24"/>
      <w:szCs w:val="20"/>
    </w:rPr>
  </w:style>
  <w:style w:type="paragraph" w:styleId="1">
    <w:name w:val="heading 1"/>
    <w:basedOn w:val="a"/>
    <w:next w:val="a"/>
    <w:link w:val="1Char"/>
    <w:uiPriority w:val="9"/>
    <w:qFormat/>
    <w:rsid w:val="00382C66"/>
    <w:pPr>
      <w:keepNext/>
      <w:keepLines/>
      <w:spacing w:before="340" w:after="330" w:line="578" w:lineRule="auto"/>
      <w:outlineLvl w:val="0"/>
    </w:pPr>
    <w:rPr>
      <w:b/>
      <w:bCs/>
      <w:kern w:val="44"/>
      <w:sz w:val="44"/>
      <w:szCs w:val="44"/>
    </w:rPr>
  </w:style>
  <w:style w:type="paragraph" w:styleId="3">
    <w:name w:val="heading 3"/>
    <w:next w:val="a"/>
    <w:link w:val="3Char"/>
    <w:qFormat/>
    <w:rsid w:val="00382C66"/>
    <w:pPr>
      <w:widowControl w:val="0"/>
      <w:autoSpaceDE w:val="0"/>
      <w:autoSpaceDN w:val="0"/>
      <w:adjustRightInd w:val="0"/>
      <w:spacing w:afterLines="50" w:after="156" w:line="360" w:lineRule="auto"/>
      <w:ind w:left="-4"/>
      <w:jc w:val="center"/>
      <w:outlineLvl w:val="2"/>
    </w:pPr>
    <w:rPr>
      <w:rFonts w:ascii="宋体" w:eastAsia="Calibri" w:hAnsi="宋体" w:cs="Times New Roman"/>
      <w:b/>
      <w:color w:val="000000"/>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C66"/>
    <w:rPr>
      <w:sz w:val="18"/>
      <w:szCs w:val="18"/>
    </w:rPr>
  </w:style>
  <w:style w:type="paragraph" w:styleId="a4">
    <w:name w:val="footer"/>
    <w:basedOn w:val="a"/>
    <w:link w:val="Char0"/>
    <w:uiPriority w:val="99"/>
    <w:unhideWhenUsed/>
    <w:rsid w:val="00382C66"/>
    <w:pPr>
      <w:tabs>
        <w:tab w:val="center" w:pos="4153"/>
        <w:tab w:val="right" w:pos="8306"/>
      </w:tabs>
      <w:snapToGrid w:val="0"/>
      <w:jc w:val="left"/>
    </w:pPr>
    <w:rPr>
      <w:sz w:val="18"/>
      <w:szCs w:val="18"/>
    </w:rPr>
  </w:style>
  <w:style w:type="character" w:customStyle="1" w:styleId="Char0">
    <w:name w:val="页脚 Char"/>
    <w:basedOn w:val="a0"/>
    <w:link w:val="a4"/>
    <w:uiPriority w:val="99"/>
    <w:rsid w:val="00382C66"/>
    <w:rPr>
      <w:sz w:val="18"/>
      <w:szCs w:val="18"/>
    </w:rPr>
  </w:style>
  <w:style w:type="character" w:customStyle="1" w:styleId="3Char">
    <w:name w:val="标题 3 Char"/>
    <w:basedOn w:val="a0"/>
    <w:link w:val="3"/>
    <w:rsid w:val="00382C66"/>
    <w:rPr>
      <w:rFonts w:ascii="宋体" w:eastAsia="Calibri" w:hAnsi="宋体" w:cs="Times New Roman"/>
      <w:b/>
      <w:color w:val="000000"/>
      <w:kern w:val="0"/>
      <w:szCs w:val="20"/>
      <w:lang w:val="en-GB"/>
    </w:rPr>
  </w:style>
  <w:style w:type="table" w:styleId="a5">
    <w:name w:val="Table Grid"/>
    <w:basedOn w:val="a1"/>
    <w:rsid w:val="00382C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82C66"/>
    <w:rPr>
      <w:rFonts w:ascii="宋体" w:eastAsia="Calibri"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82C66"/>
    <w:pPr>
      <w:widowControl w:val="0"/>
      <w:jc w:val="both"/>
    </w:pPr>
    <w:rPr>
      <w:rFonts w:ascii="宋体" w:eastAsia="Calibri" w:hAnsi="Calibri" w:cs="Times New Roman"/>
      <w:kern w:val="0"/>
      <w:sz w:val="24"/>
      <w:szCs w:val="20"/>
    </w:rPr>
  </w:style>
  <w:style w:type="paragraph" w:styleId="1">
    <w:name w:val="heading 1"/>
    <w:basedOn w:val="a"/>
    <w:next w:val="a"/>
    <w:link w:val="1Char"/>
    <w:uiPriority w:val="9"/>
    <w:qFormat/>
    <w:rsid w:val="00382C66"/>
    <w:pPr>
      <w:keepNext/>
      <w:keepLines/>
      <w:spacing w:before="340" w:after="330" w:line="578" w:lineRule="auto"/>
      <w:outlineLvl w:val="0"/>
    </w:pPr>
    <w:rPr>
      <w:b/>
      <w:bCs/>
      <w:kern w:val="44"/>
      <w:sz w:val="44"/>
      <w:szCs w:val="44"/>
    </w:rPr>
  </w:style>
  <w:style w:type="paragraph" w:styleId="3">
    <w:name w:val="heading 3"/>
    <w:next w:val="a"/>
    <w:link w:val="3Char"/>
    <w:qFormat/>
    <w:rsid w:val="00382C66"/>
    <w:pPr>
      <w:widowControl w:val="0"/>
      <w:autoSpaceDE w:val="0"/>
      <w:autoSpaceDN w:val="0"/>
      <w:adjustRightInd w:val="0"/>
      <w:spacing w:afterLines="50" w:after="156" w:line="360" w:lineRule="auto"/>
      <w:ind w:left="-4"/>
      <w:jc w:val="center"/>
      <w:outlineLvl w:val="2"/>
    </w:pPr>
    <w:rPr>
      <w:rFonts w:ascii="宋体" w:eastAsia="Calibri" w:hAnsi="宋体" w:cs="Times New Roman"/>
      <w:b/>
      <w:color w:val="000000"/>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2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2C66"/>
    <w:rPr>
      <w:sz w:val="18"/>
      <w:szCs w:val="18"/>
    </w:rPr>
  </w:style>
  <w:style w:type="paragraph" w:styleId="a4">
    <w:name w:val="footer"/>
    <w:basedOn w:val="a"/>
    <w:link w:val="Char0"/>
    <w:uiPriority w:val="99"/>
    <w:unhideWhenUsed/>
    <w:rsid w:val="00382C66"/>
    <w:pPr>
      <w:tabs>
        <w:tab w:val="center" w:pos="4153"/>
        <w:tab w:val="right" w:pos="8306"/>
      </w:tabs>
      <w:snapToGrid w:val="0"/>
      <w:jc w:val="left"/>
    </w:pPr>
    <w:rPr>
      <w:sz w:val="18"/>
      <w:szCs w:val="18"/>
    </w:rPr>
  </w:style>
  <w:style w:type="character" w:customStyle="1" w:styleId="Char0">
    <w:name w:val="页脚 Char"/>
    <w:basedOn w:val="a0"/>
    <w:link w:val="a4"/>
    <w:uiPriority w:val="99"/>
    <w:rsid w:val="00382C66"/>
    <w:rPr>
      <w:sz w:val="18"/>
      <w:szCs w:val="18"/>
    </w:rPr>
  </w:style>
  <w:style w:type="character" w:customStyle="1" w:styleId="3Char">
    <w:name w:val="标题 3 Char"/>
    <w:basedOn w:val="a0"/>
    <w:link w:val="3"/>
    <w:rsid w:val="00382C66"/>
    <w:rPr>
      <w:rFonts w:ascii="宋体" w:eastAsia="Calibri" w:hAnsi="宋体" w:cs="Times New Roman"/>
      <w:b/>
      <w:color w:val="000000"/>
      <w:kern w:val="0"/>
      <w:szCs w:val="20"/>
      <w:lang w:val="en-GB"/>
    </w:rPr>
  </w:style>
  <w:style w:type="table" w:styleId="a5">
    <w:name w:val="Table Grid"/>
    <w:basedOn w:val="a1"/>
    <w:rsid w:val="00382C6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82C66"/>
    <w:rPr>
      <w:rFonts w:ascii="宋体" w:eastAsia="Calibri"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Company>china</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刘东宇</dc:creator>
  <cp:keywords/>
  <dc:description/>
  <cp:lastModifiedBy>刘东宇</cp:lastModifiedBy>
  <cp:revision>2</cp:revision>
  <dcterms:created xsi:type="dcterms:W3CDTF">2022-09-02T02:04:00Z</dcterms:created>
  <dcterms:modified xsi:type="dcterms:W3CDTF">2022-09-02T02:06:00Z</dcterms:modified>
</cp:coreProperties>
</file>