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2" w:rsidRPr="001B1079" w:rsidRDefault="00B91872" w:rsidP="00B91872">
      <w:pPr>
        <w:spacing w:line="360" w:lineRule="auto"/>
        <w:jc w:val="center"/>
        <w:rPr>
          <w:rFonts w:ascii="宋体" w:hAnsi="宋体" w:hint="eastAsia"/>
          <w:b/>
          <w:bCs/>
          <w:sz w:val="72"/>
          <w:szCs w:val="72"/>
        </w:rPr>
      </w:pPr>
      <w:r w:rsidRPr="001B1079">
        <w:rPr>
          <w:rFonts w:ascii="宋体" w:hAnsi="宋体" w:hint="eastAsia"/>
          <w:b/>
          <w:bCs/>
          <w:sz w:val="72"/>
          <w:szCs w:val="72"/>
        </w:rPr>
        <w:t>中山大学中山眼科中心</w:t>
      </w:r>
    </w:p>
    <w:p w:rsidR="00B91872" w:rsidRPr="001B1079" w:rsidRDefault="00B91872" w:rsidP="00B91872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 w:rsidRPr="001B1079">
        <w:rPr>
          <w:rFonts w:ascii="宋体" w:hAnsi="宋体" w:hint="eastAsia"/>
          <w:b/>
          <w:bCs/>
          <w:sz w:val="72"/>
          <w:szCs w:val="72"/>
        </w:rPr>
        <w:t>10kV电气设备及线路维护服务</w:t>
      </w:r>
    </w:p>
    <w:p w:rsidR="00B91872" w:rsidRDefault="00B91872" w:rsidP="00B91872">
      <w:pPr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:rsidR="00B91872" w:rsidRDefault="00B91872" w:rsidP="00B91872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B91872" w:rsidRPr="00870A21" w:rsidRDefault="00B91872" w:rsidP="00B91872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 w:rsidRPr="001B1079">
        <w:rPr>
          <w:rFonts w:ascii="宋体" w:hAnsi="宋体" w:hint="eastAsia"/>
          <w:b/>
          <w:sz w:val="96"/>
          <w:szCs w:val="96"/>
        </w:rPr>
        <w:t>用户需求书</w:t>
      </w:r>
    </w:p>
    <w:p w:rsidR="00B91872" w:rsidRPr="006B2510" w:rsidRDefault="00B91872" w:rsidP="00B91872">
      <w:pPr>
        <w:spacing w:line="360" w:lineRule="auto"/>
        <w:ind w:firstLine="3300"/>
        <w:rPr>
          <w:rFonts w:ascii="宋体" w:hAnsi="宋体" w:hint="eastAsia"/>
          <w:b/>
          <w:szCs w:val="21"/>
        </w:rPr>
      </w:pPr>
    </w:p>
    <w:p w:rsidR="00B91872" w:rsidRDefault="00B91872" w:rsidP="00B91872">
      <w:pPr>
        <w:spacing w:line="360" w:lineRule="auto"/>
        <w:ind w:firstLine="3300"/>
        <w:rPr>
          <w:rFonts w:ascii="宋体" w:hAnsi="宋体"/>
          <w:b/>
          <w:szCs w:val="21"/>
        </w:rPr>
      </w:pPr>
    </w:p>
    <w:p w:rsidR="00B91872" w:rsidRDefault="00B91872" w:rsidP="00B91872">
      <w:pPr>
        <w:spacing w:line="360" w:lineRule="auto"/>
        <w:ind w:firstLine="3300"/>
        <w:rPr>
          <w:rFonts w:ascii="宋体" w:hAnsi="宋体"/>
          <w:b/>
          <w:szCs w:val="21"/>
        </w:rPr>
      </w:pPr>
    </w:p>
    <w:p w:rsidR="00B91872" w:rsidRDefault="00B91872" w:rsidP="00B91872">
      <w:pPr>
        <w:spacing w:line="360" w:lineRule="auto"/>
        <w:ind w:firstLine="3300"/>
        <w:rPr>
          <w:rFonts w:ascii="宋体" w:hAnsi="宋体"/>
          <w:b/>
          <w:szCs w:val="21"/>
        </w:rPr>
      </w:pPr>
    </w:p>
    <w:p w:rsidR="00B91872" w:rsidRDefault="00B91872" w:rsidP="00B91872">
      <w:pPr>
        <w:spacing w:line="360" w:lineRule="auto"/>
        <w:rPr>
          <w:rFonts w:ascii="宋体" w:hAnsi="宋体" w:hint="eastAsia"/>
          <w:b/>
          <w:szCs w:val="21"/>
        </w:rPr>
      </w:pPr>
    </w:p>
    <w:p w:rsidR="00B91872" w:rsidRDefault="00B91872" w:rsidP="00B91872">
      <w:pPr>
        <w:spacing w:line="360" w:lineRule="auto"/>
        <w:ind w:firstLine="3300"/>
        <w:rPr>
          <w:rFonts w:ascii="宋体" w:hAnsi="宋体"/>
          <w:b/>
          <w:szCs w:val="21"/>
        </w:rPr>
      </w:pPr>
    </w:p>
    <w:p w:rsidR="00B91872" w:rsidRPr="001B1079" w:rsidRDefault="00B91872" w:rsidP="00B91872">
      <w:pPr>
        <w:spacing w:line="360" w:lineRule="auto"/>
        <w:ind w:firstLine="1418"/>
        <w:jc w:val="left"/>
        <w:rPr>
          <w:rFonts w:ascii="宋体" w:hAnsi="宋体"/>
          <w:b/>
          <w:sz w:val="44"/>
          <w:szCs w:val="44"/>
        </w:rPr>
      </w:pPr>
      <w:bookmarkStart w:id="0" w:name="_Hlk117579839"/>
      <w:r w:rsidRPr="001B1079">
        <w:rPr>
          <w:rFonts w:ascii="宋体" w:hAnsi="宋体" w:hint="eastAsia"/>
          <w:b/>
          <w:sz w:val="44"/>
          <w:szCs w:val="44"/>
        </w:rPr>
        <w:t>需求部门：总务基建科</w:t>
      </w:r>
    </w:p>
    <w:p w:rsidR="00B91872" w:rsidRPr="001B1079" w:rsidRDefault="00B91872" w:rsidP="00B91872">
      <w:pPr>
        <w:spacing w:line="360" w:lineRule="auto"/>
        <w:ind w:firstLine="1418"/>
        <w:jc w:val="left"/>
        <w:rPr>
          <w:rFonts w:ascii="宋体" w:hAnsi="宋体" w:hint="eastAsia"/>
          <w:b/>
          <w:sz w:val="44"/>
          <w:szCs w:val="44"/>
        </w:rPr>
      </w:pPr>
    </w:p>
    <w:p w:rsidR="00B91872" w:rsidRPr="001B1079" w:rsidRDefault="00B91872" w:rsidP="00B91872">
      <w:pPr>
        <w:spacing w:line="360" w:lineRule="auto"/>
        <w:ind w:firstLine="1418"/>
        <w:jc w:val="left"/>
        <w:rPr>
          <w:rFonts w:ascii="宋体" w:hAnsi="宋体" w:hint="eastAsia"/>
          <w:b/>
          <w:sz w:val="44"/>
          <w:szCs w:val="44"/>
        </w:rPr>
      </w:pPr>
      <w:r w:rsidRPr="001B1079">
        <w:rPr>
          <w:rFonts w:ascii="宋体" w:hAnsi="宋体" w:hint="eastAsia"/>
          <w:b/>
          <w:sz w:val="44"/>
          <w:szCs w:val="44"/>
        </w:rPr>
        <w:t xml:space="preserve">需求部门签名： </w:t>
      </w:r>
    </w:p>
    <w:bookmarkEnd w:id="0"/>
    <w:p w:rsidR="00B91872" w:rsidRPr="006B2510" w:rsidRDefault="00B91872" w:rsidP="00B91872">
      <w:pPr>
        <w:spacing w:line="360" w:lineRule="auto"/>
        <w:ind w:firstLine="3300"/>
        <w:rPr>
          <w:rFonts w:ascii="宋体" w:hAnsi="宋体" w:hint="eastAsia"/>
          <w:b/>
          <w:szCs w:val="21"/>
        </w:rPr>
      </w:pPr>
    </w:p>
    <w:p w:rsidR="00B91872" w:rsidRPr="006B2510" w:rsidRDefault="00B91872" w:rsidP="00B91872">
      <w:pPr>
        <w:spacing w:line="360" w:lineRule="auto"/>
        <w:rPr>
          <w:rFonts w:ascii="宋体" w:hAnsi="宋体" w:hint="eastAsia"/>
          <w:kern w:val="0"/>
          <w:szCs w:val="21"/>
        </w:rPr>
      </w:pPr>
      <w:r w:rsidRPr="006B2510">
        <w:rPr>
          <w:rFonts w:ascii="宋体" w:hAnsi="宋体"/>
          <w:b/>
          <w:szCs w:val="21"/>
        </w:rPr>
        <w:br w:type="page"/>
      </w:r>
      <w:r w:rsidRPr="006B2510">
        <w:rPr>
          <w:rFonts w:ascii="宋体" w:hAnsi="宋体" w:hint="eastAsia"/>
          <w:kern w:val="0"/>
          <w:szCs w:val="21"/>
        </w:rPr>
        <w:lastRenderedPageBreak/>
        <w:t xml:space="preserve"> </w:t>
      </w:r>
    </w:p>
    <w:p w:rsidR="00B91872" w:rsidRPr="006B2510" w:rsidRDefault="00B91872" w:rsidP="00B91872">
      <w:pPr>
        <w:numPr>
          <w:ilvl w:val="0"/>
          <w:numId w:val="3"/>
        </w:numPr>
        <w:spacing w:line="360" w:lineRule="auto"/>
        <w:rPr>
          <w:rFonts w:ascii="宋体" w:hAnsi="宋体"/>
          <w:b/>
          <w:kern w:val="44"/>
          <w:szCs w:val="21"/>
        </w:rPr>
      </w:pPr>
      <w:r w:rsidRPr="003104EA">
        <w:rPr>
          <w:rFonts w:ascii="宋体" w:hAnsi="宋体"/>
          <w:b/>
          <w:kern w:val="44"/>
          <w:szCs w:val="21"/>
        </w:rPr>
        <w:t>供应商资格</w:t>
      </w:r>
    </w:p>
    <w:p w:rsidR="00B91872" w:rsidRPr="006B2510" w:rsidRDefault="00B91872" w:rsidP="00B91872">
      <w:pPr>
        <w:numPr>
          <w:ilvl w:val="1"/>
          <w:numId w:val="5"/>
        </w:numPr>
        <w:autoSpaceDE w:val="0"/>
        <w:autoSpaceDN w:val="0"/>
        <w:rPr>
          <w:rFonts w:ascii="宋体" w:hAnsi="宋体"/>
          <w:szCs w:val="21"/>
        </w:rPr>
      </w:pPr>
      <w:r w:rsidRPr="003104EA">
        <w:rPr>
          <w:rFonts w:ascii="宋体" w:hAnsi="宋体"/>
          <w:szCs w:val="21"/>
        </w:rPr>
        <w:t>供应商</w:t>
      </w:r>
      <w:r w:rsidRPr="006B2510">
        <w:rPr>
          <w:rFonts w:ascii="宋体" w:hAnsi="宋体" w:hint="eastAsia"/>
          <w:szCs w:val="21"/>
        </w:rPr>
        <w:t>应是在中华人民共和国注册的具有独立民事责任的法人或其他组织；</w:t>
      </w:r>
    </w:p>
    <w:p w:rsidR="00B91872" w:rsidRDefault="00B91872" w:rsidP="00B91872">
      <w:pPr>
        <w:numPr>
          <w:ilvl w:val="1"/>
          <w:numId w:val="5"/>
        </w:numPr>
        <w:autoSpaceDE w:val="0"/>
        <w:autoSpaceDN w:val="0"/>
        <w:rPr>
          <w:rFonts w:ascii="宋体" w:hAnsi="宋体"/>
          <w:szCs w:val="21"/>
        </w:rPr>
      </w:pPr>
      <w:r w:rsidRPr="003104EA">
        <w:rPr>
          <w:rFonts w:ascii="宋体" w:hAnsi="宋体"/>
          <w:szCs w:val="21"/>
        </w:rPr>
        <w:t>供应商</w:t>
      </w:r>
      <w:r w:rsidRPr="006B2510">
        <w:rPr>
          <w:rFonts w:ascii="宋体" w:hAnsi="宋体" w:hint="eastAsia"/>
          <w:szCs w:val="21"/>
        </w:rPr>
        <w:t>具备《承装（修、试）电力设施许可证》承装类、承修类、承试类</w:t>
      </w:r>
      <w:r>
        <w:rPr>
          <w:rFonts w:ascii="宋体" w:hAnsi="宋体" w:hint="eastAsia"/>
          <w:szCs w:val="21"/>
        </w:rPr>
        <w:t>三</w:t>
      </w:r>
      <w:r w:rsidRPr="006B2510">
        <w:rPr>
          <w:rFonts w:ascii="宋体" w:hAnsi="宋体" w:hint="eastAsia"/>
          <w:szCs w:val="21"/>
        </w:rPr>
        <w:t>级（或</w:t>
      </w:r>
      <w:r>
        <w:rPr>
          <w:rFonts w:ascii="宋体" w:hAnsi="宋体" w:hint="eastAsia"/>
          <w:szCs w:val="21"/>
        </w:rPr>
        <w:t>三</w:t>
      </w:r>
      <w:r w:rsidRPr="006B2510">
        <w:rPr>
          <w:rFonts w:ascii="宋体" w:hAnsi="宋体" w:hint="eastAsia"/>
          <w:szCs w:val="21"/>
        </w:rPr>
        <w:t>级以上）资质；</w:t>
      </w:r>
    </w:p>
    <w:p w:rsidR="00B91872" w:rsidRDefault="00B91872" w:rsidP="00B91872">
      <w:pPr>
        <w:numPr>
          <w:ilvl w:val="0"/>
          <w:numId w:val="3"/>
        </w:numPr>
        <w:spacing w:line="360" w:lineRule="auto"/>
        <w:rPr>
          <w:rFonts w:ascii="宋体" w:hAnsi="宋体"/>
          <w:b/>
          <w:kern w:val="44"/>
          <w:szCs w:val="21"/>
        </w:rPr>
      </w:pPr>
      <w:r w:rsidRPr="006B2510">
        <w:rPr>
          <w:rFonts w:ascii="宋体" w:hAnsi="宋体" w:hint="eastAsia"/>
          <w:b/>
          <w:kern w:val="44"/>
          <w:szCs w:val="21"/>
        </w:rPr>
        <w:t>技术服务目标与内容</w:t>
      </w:r>
    </w:p>
    <w:p w:rsidR="00B91872" w:rsidRPr="006B2510" w:rsidRDefault="00B91872" w:rsidP="00B91872">
      <w:pPr>
        <w:numPr>
          <w:ilvl w:val="1"/>
          <w:numId w:val="3"/>
        </w:numPr>
        <w:spacing w:line="360" w:lineRule="auto"/>
        <w:rPr>
          <w:rFonts w:ascii="宋体" w:hAnsi="宋体"/>
          <w:b/>
          <w:kern w:val="44"/>
          <w:szCs w:val="21"/>
        </w:rPr>
      </w:pPr>
      <w:r w:rsidRPr="006B2510">
        <w:rPr>
          <w:rFonts w:ascii="宋体" w:hAnsi="宋体" w:hint="eastAsia"/>
          <w:b/>
          <w:kern w:val="44"/>
          <w:szCs w:val="21"/>
        </w:rPr>
        <w:t>技术服务目标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对现有高压配电房及设施（包含所有10kv高压电缆、变压器、继电保护装置、高压柜）</w:t>
      </w:r>
      <w:r>
        <w:rPr>
          <w:rFonts w:ascii="宋体" w:hAnsi="宋体" w:hint="eastAsia"/>
          <w:szCs w:val="21"/>
        </w:rPr>
        <w:t>及附件</w:t>
      </w:r>
      <w:r w:rsidRPr="006B2510">
        <w:rPr>
          <w:rFonts w:ascii="宋体" w:hAnsi="宋体" w:hint="eastAsia"/>
          <w:szCs w:val="21"/>
        </w:rPr>
        <w:t>每季度进行上门定期巡检、维修、维护。例行巡检技术人员须为采购人实时解答技术</w:t>
      </w:r>
      <w:r>
        <w:rPr>
          <w:rFonts w:ascii="宋体" w:hAnsi="宋体" w:hint="eastAsia"/>
          <w:szCs w:val="21"/>
        </w:rPr>
        <w:t>问</w:t>
      </w:r>
      <w:r w:rsidRPr="006B2510">
        <w:rPr>
          <w:rFonts w:ascii="宋体" w:hAnsi="宋体" w:hint="eastAsia"/>
          <w:szCs w:val="21"/>
        </w:rPr>
        <w:t xml:space="preserve">题。 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每年进行一次高压电气设备（包含所有10kv高压电缆、变压器、继电保护装置、高压柜）定期检测及清洁保养。对10kV电缆预防性维保鉴定，及时发现缺陷，降低故障发生率，保障甲方的电气设备及线路的安全、正常运行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对变压器，高压柜进行全面维护</w:t>
      </w:r>
      <w:r>
        <w:rPr>
          <w:rFonts w:ascii="宋体" w:hAnsi="宋体" w:hint="eastAsia"/>
          <w:szCs w:val="21"/>
        </w:rPr>
        <w:t>检</w:t>
      </w:r>
      <w:r w:rsidRPr="006B2510">
        <w:rPr>
          <w:rFonts w:ascii="宋体" w:hAnsi="宋体" w:hint="eastAsia"/>
          <w:szCs w:val="21"/>
        </w:rPr>
        <w:t>查、测试分析，测量负荷、接地电阻，测试避雷器，建立健全变压器、高压柜的维保资料。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检查高压电房的门、窗、防小动物挡板是否有变形、缺失</w:t>
      </w:r>
      <w:r>
        <w:rPr>
          <w:rFonts w:ascii="宋体" w:hAnsi="宋体" w:hint="eastAsia"/>
          <w:szCs w:val="21"/>
        </w:rPr>
        <w:t>，</w:t>
      </w:r>
      <w:r w:rsidRPr="006B2510">
        <w:rPr>
          <w:rFonts w:ascii="宋体" w:hAnsi="宋体" w:hint="eastAsia"/>
          <w:szCs w:val="21"/>
        </w:rPr>
        <w:t>电房内电缆沟盖板是否有残缺；电房内应急照明装置是否正常。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 xml:space="preserve">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有无脱漆、锈蚀，焊口有无裂纹；接地是否良好；各固定部件螺栓是否有缺失、松动；铭牌及其他标志是否完好； 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检查高压柜真空开关是否正常；开关分、合位置指示是否正确、清晰；开关柜标示（线路走向、设备名称）是否正确、清晰；高压柜的安全操作通道是否被占用；高压电柜内穿线孔是否已封堵。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检查10K</w:t>
      </w:r>
      <w:r>
        <w:rPr>
          <w:rFonts w:ascii="宋体" w:hAnsi="宋体" w:hint="eastAsia"/>
          <w:szCs w:val="21"/>
        </w:rPr>
        <w:t>V</w:t>
      </w:r>
      <w:r w:rsidRPr="006B2510">
        <w:rPr>
          <w:rFonts w:ascii="宋体" w:hAnsi="宋体" w:hint="eastAsia"/>
          <w:szCs w:val="21"/>
        </w:rPr>
        <w:t>电缆电路：线路走廊有无被挖掘的痕迹，电缆沟及盖板是否完整，线路的路面是否平整，线路标志物是否完好明显；套管是否完整、表面有无放电痕迹、引线和连接点是否有变动和发热现象、引线形状有无变形、带电距离是否足够、相序及双编号标志是否</w:t>
      </w:r>
      <w:r>
        <w:rPr>
          <w:rFonts w:ascii="宋体" w:hAnsi="宋体" w:hint="eastAsia"/>
          <w:szCs w:val="21"/>
        </w:rPr>
        <w:t>齐全</w:t>
      </w:r>
      <w:r w:rsidRPr="006B2510">
        <w:rPr>
          <w:rFonts w:ascii="宋体" w:hAnsi="宋体" w:hint="eastAsia"/>
          <w:szCs w:val="21"/>
        </w:rPr>
        <w:t>；终端架构是否牢固，金属构架和连接螺丝有无锈蚀，地线是否完整，连接处是否紧固可靠，有无发热，固定电缆的夹具有无发热；避雷器套管是否完整，表面有无放电痕迹。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直流屏直流电池进行外观检查</w:t>
      </w:r>
      <w:r>
        <w:rPr>
          <w:rFonts w:ascii="宋体" w:hAnsi="宋体" w:hint="eastAsia"/>
          <w:szCs w:val="21"/>
        </w:rPr>
        <w:t>并检测电池剩余寿命</w:t>
      </w:r>
      <w:r w:rsidRPr="006B2510">
        <w:rPr>
          <w:rFonts w:ascii="宋体" w:hAnsi="宋体" w:hint="eastAsia"/>
          <w:szCs w:val="21"/>
        </w:rPr>
        <w:t>，检测监控、整流、降压模块运行情况。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测量电流互感二次绕组端子电压、直流回路继电器线圈完好情况及绝缘电阻；处理二次回路故障。</w:t>
      </w:r>
    </w:p>
    <w:p w:rsidR="00B91872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/>
          <w:szCs w:val="21"/>
        </w:rPr>
      </w:pPr>
      <w:r w:rsidRPr="006B2510">
        <w:rPr>
          <w:rFonts w:ascii="宋体" w:hAnsi="宋体" w:hint="eastAsia"/>
          <w:szCs w:val="21"/>
        </w:rPr>
        <w:t>在维护合同期内对约定维护设备，发生突发性导致影响专变用户停电故障的电气设备提供24小时抢修服务（免人工费）。受理供电故障报修，除不可抗力因数外，要求</w:t>
      </w:r>
      <w:r>
        <w:rPr>
          <w:rFonts w:ascii="宋体" w:hAnsi="宋体"/>
          <w:szCs w:val="21"/>
        </w:rPr>
        <w:t>9</w:t>
      </w:r>
      <w:r w:rsidRPr="006B2510">
        <w:rPr>
          <w:rFonts w:ascii="宋体" w:hAnsi="宋体" w:hint="eastAsia"/>
          <w:szCs w:val="21"/>
        </w:rPr>
        <w:t>0分钟内到达现场，完成事故抢修后提供技术分析报告。</w:t>
      </w:r>
    </w:p>
    <w:p w:rsidR="00B91872" w:rsidRPr="006B2510" w:rsidRDefault="00B91872" w:rsidP="00B91872">
      <w:pPr>
        <w:numPr>
          <w:ilvl w:val="0"/>
          <w:numId w:val="6"/>
        </w:numPr>
        <w:autoSpaceDE w:val="0"/>
        <w:autoSpaceDN w:val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合同价包含对两院区所有电力安全工器具进行检测并提供检验报告。检测技术依据为DL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T</w:t>
      </w:r>
      <w:r>
        <w:rPr>
          <w:rFonts w:ascii="宋体" w:hAnsi="宋体"/>
          <w:szCs w:val="21"/>
        </w:rPr>
        <w:t xml:space="preserve"> 1476-2015</w:t>
      </w:r>
      <w:r>
        <w:rPr>
          <w:rFonts w:ascii="宋体" w:hAnsi="宋体" w:hint="eastAsia"/>
          <w:szCs w:val="21"/>
        </w:rPr>
        <w:t>《电力安全工器具预防性试验规程》</w:t>
      </w:r>
    </w:p>
    <w:p w:rsidR="00B91872" w:rsidRPr="003104EA" w:rsidRDefault="00B91872" w:rsidP="00B91872">
      <w:pPr>
        <w:numPr>
          <w:ilvl w:val="1"/>
          <w:numId w:val="3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 w:rsidRPr="00C52545">
        <w:rPr>
          <w:rFonts w:ascii="宋体" w:hAnsi="宋体" w:hint="eastAsia"/>
          <w:b/>
          <w:kern w:val="44"/>
          <w:szCs w:val="21"/>
        </w:rPr>
        <w:t>服务</w:t>
      </w:r>
      <w:r>
        <w:rPr>
          <w:rFonts w:ascii="宋体" w:hAnsi="宋体" w:hint="eastAsia"/>
          <w:b/>
          <w:kern w:val="44"/>
          <w:szCs w:val="21"/>
        </w:rPr>
        <w:t>内容与方案</w:t>
      </w:r>
    </w:p>
    <w:tbl>
      <w:tblPr>
        <w:tblpPr w:leftFromText="180" w:rightFromText="180" w:vertAnchor="text" w:tblpY="1"/>
        <w:tblOverlap w:val="never"/>
        <w:tblW w:w="7975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5469"/>
      </w:tblGrid>
      <w:tr w:rsidR="00B91872" w:rsidRPr="006B2510" w:rsidTr="00F62745">
        <w:trPr>
          <w:trHeight w:val="551"/>
        </w:trPr>
        <w:tc>
          <w:tcPr>
            <w:tcW w:w="2506" w:type="dxa"/>
          </w:tcPr>
          <w:p w:rsidR="00B91872" w:rsidRPr="006B2510" w:rsidRDefault="00B91872" w:rsidP="00F62745">
            <w:pPr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lastRenderedPageBreak/>
              <w:t>服务项目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“用电保障”服务方案</w:t>
            </w:r>
          </w:p>
        </w:tc>
      </w:tr>
      <w:tr w:rsidR="00B91872" w:rsidRPr="006B2510" w:rsidTr="00F62745">
        <w:trPr>
          <w:trHeight w:val="782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电力技术咨询服务</w:t>
            </w:r>
          </w:p>
        </w:tc>
        <w:tc>
          <w:tcPr>
            <w:tcW w:w="5469" w:type="dxa"/>
            <w:vAlign w:val="center"/>
          </w:tcPr>
          <w:p w:rsidR="00B91872" w:rsidRPr="006B2510" w:rsidRDefault="00B91872" w:rsidP="00F627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宣传讲解用电政策。</w:t>
            </w:r>
          </w:p>
          <w:p w:rsidR="00B91872" w:rsidRPr="006B2510" w:rsidRDefault="00B91872" w:rsidP="00F627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开展安全用电知识的培训。</w:t>
            </w:r>
          </w:p>
          <w:p w:rsidR="00B91872" w:rsidRPr="006B2510" w:rsidRDefault="00B91872" w:rsidP="00F627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为客户代办各种用电服务。</w:t>
            </w:r>
          </w:p>
          <w:p w:rsidR="00B91872" w:rsidRPr="006B2510" w:rsidRDefault="00B91872" w:rsidP="00F627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客户设备综合档案。</w:t>
            </w:r>
          </w:p>
        </w:tc>
      </w:tr>
      <w:tr w:rsidR="00B91872" w:rsidRPr="006B2510" w:rsidTr="00F62745">
        <w:trPr>
          <w:trHeight w:val="920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巡视检查服务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每</w:t>
            </w:r>
            <w:r>
              <w:rPr>
                <w:rFonts w:ascii="宋体" w:hAnsi="宋体" w:cs="宋体" w:hint="eastAsia"/>
                <w:szCs w:val="21"/>
              </w:rPr>
              <w:t>季度</w:t>
            </w:r>
            <w:r w:rsidRPr="006B2510">
              <w:rPr>
                <w:rFonts w:ascii="宋体" w:hAnsi="宋体" w:cs="宋体" w:hint="eastAsia"/>
                <w:szCs w:val="21"/>
              </w:rPr>
              <w:t>使用红外热成像仪和电能质量分析仪等先进科技现场巡视检查一次，并出具用户用电设备运维报告。</w:t>
            </w:r>
          </w:p>
        </w:tc>
      </w:tr>
      <w:tr w:rsidR="00B91872" w:rsidRPr="006B2510" w:rsidTr="00F62745">
        <w:trPr>
          <w:trHeight w:val="944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日常保养服务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提供变压器加油、设备器件更换。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材料费用、人工费用根据实际情况计算。</w:t>
            </w:r>
          </w:p>
        </w:tc>
      </w:tr>
      <w:tr w:rsidR="00B91872" w:rsidRPr="006B2510" w:rsidTr="00F62745">
        <w:trPr>
          <w:trHeight w:hRule="exact" w:val="896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设备清扫服务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提供一年一次的全面性10kV设备至开关电源侧（不包含各分路出线）设备清洁服务。</w:t>
            </w:r>
          </w:p>
        </w:tc>
      </w:tr>
      <w:tr w:rsidR="00B91872" w:rsidRPr="006B2510" w:rsidTr="00F62745">
        <w:trPr>
          <w:trHeight w:hRule="exact" w:val="1549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电力电缆定检服务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交流耐压试验。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相间绝缘电阻试验。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检查电缆线路的相位。</w:t>
            </w:r>
          </w:p>
        </w:tc>
      </w:tr>
      <w:tr w:rsidR="00B91872" w:rsidRPr="006B2510" w:rsidTr="00F62745">
        <w:trPr>
          <w:trHeight w:hRule="exact" w:val="1389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设备定检测试服务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提供一年一次的全面性10kV设备至开关电源侧（不包含各分路出线）设备预防性试验检查服务。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提交预试定检报告。</w:t>
            </w:r>
          </w:p>
        </w:tc>
      </w:tr>
      <w:tr w:rsidR="00B91872" w:rsidRPr="006B2510" w:rsidTr="00F62745">
        <w:trPr>
          <w:trHeight w:hRule="exact" w:val="1142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快速抢修服务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采购人</w:t>
            </w:r>
            <w:r w:rsidRPr="006B2510">
              <w:rPr>
                <w:rFonts w:ascii="宋体" w:hAnsi="宋体" w:cs="宋体" w:hint="eastAsia"/>
                <w:szCs w:val="21"/>
              </w:rPr>
              <w:t>报障后，90分钟内到达现场。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材料费用、人工费用根据实际情况计算。</w:t>
            </w:r>
          </w:p>
        </w:tc>
      </w:tr>
      <w:tr w:rsidR="00B91872" w:rsidRPr="006B2510" w:rsidTr="00F62745">
        <w:trPr>
          <w:trHeight w:hRule="exact" w:val="1098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大修技改服务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6B2510">
              <w:rPr>
                <w:rFonts w:ascii="宋体" w:hAnsi="宋体" w:cs="宋体" w:hint="eastAsia"/>
                <w:szCs w:val="21"/>
              </w:rPr>
              <w:t>结合</w:t>
            </w:r>
            <w:r>
              <w:rPr>
                <w:rFonts w:ascii="宋体" w:hAnsi="宋体" w:cs="宋体" w:hint="eastAsia"/>
                <w:szCs w:val="21"/>
              </w:rPr>
              <w:t>采购人</w:t>
            </w:r>
            <w:r w:rsidRPr="006B2510">
              <w:rPr>
                <w:rFonts w:ascii="宋体" w:hAnsi="宋体" w:cs="宋体" w:hint="eastAsia"/>
                <w:szCs w:val="21"/>
              </w:rPr>
              <w:t>要求，提供大修技改服务。大修技改服务包括：线路改造，节能改造，增容减容等。</w:t>
            </w:r>
          </w:p>
        </w:tc>
      </w:tr>
      <w:tr w:rsidR="00B91872" w:rsidRPr="006B2510" w:rsidTr="00F62745">
        <w:trPr>
          <w:trHeight w:hRule="exact" w:val="1098"/>
        </w:trPr>
        <w:tc>
          <w:tcPr>
            <w:tcW w:w="2506" w:type="dxa"/>
          </w:tcPr>
          <w:p w:rsidR="00B91872" w:rsidRPr="006B2510" w:rsidRDefault="00B91872" w:rsidP="00F6274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高压绝缘工具检验</w:t>
            </w:r>
          </w:p>
        </w:tc>
        <w:tc>
          <w:tcPr>
            <w:tcW w:w="5469" w:type="dxa"/>
          </w:tcPr>
          <w:p w:rsidR="00B91872" w:rsidRPr="006B2510" w:rsidRDefault="00B91872" w:rsidP="00F6274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合同价包含对两院区所有电力安全工器具进行检测并提供检验报告。检测技术依据为DL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 xml:space="preserve"> 1476-2015</w:t>
            </w:r>
            <w:r>
              <w:rPr>
                <w:rFonts w:ascii="宋体" w:hAnsi="宋体" w:hint="eastAsia"/>
                <w:szCs w:val="21"/>
              </w:rPr>
              <w:t>《电力安全工器具预防性试验规程》</w:t>
            </w:r>
          </w:p>
          <w:p w:rsidR="00B91872" w:rsidRPr="006B2510" w:rsidRDefault="00B91872" w:rsidP="00F6274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B91872" w:rsidRPr="00C52545" w:rsidRDefault="00B91872" w:rsidP="00B91872">
      <w:pPr>
        <w:autoSpaceDE w:val="0"/>
        <w:autoSpaceDN w:val="0"/>
        <w:rPr>
          <w:rFonts w:ascii="宋体" w:hAnsi="宋体" w:hint="eastAsia"/>
          <w:szCs w:val="21"/>
        </w:rPr>
      </w:pPr>
    </w:p>
    <w:p w:rsidR="00B91872" w:rsidRPr="00C52545" w:rsidRDefault="00B91872" w:rsidP="00B91872">
      <w:pPr>
        <w:numPr>
          <w:ilvl w:val="1"/>
          <w:numId w:val="3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 w:rsidRPr="00C52545">
        <w:rPr>
          <w:rFonts w:ascii="宋体" w:hAnsi="宋体" w:hint="eastAsia"/>
          <w:b/>
          <w:kern w:val="44"/>
          <w:szCs w:val="21"/>
        </w:rPr>
        <w:t>其他要求</w:t>
      </w:r>
    </w:p>
    <w:p w:rsidR="00B91872" w:rsidRPr="006B2510" w:rsidRDefault="00B91872" w:rsidP="00B91872">
      <w:pPr>
        <w:numPr>
          <w:ilvl w:val="0"/>
          <w:numId w:val="4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 xml:space="preserve">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:rsidR="00B91872" w:rsidRPr="006B2510" w:rsidRDefault="00B91872" w:rsidP="00B91872">
      <w:pPr>
        <w:numPr>
          <w:ilvl w:val="0"/>
          <w:numId w:val="4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为保证项目的顺利进行，供应商须委派项目经理到项目现场进行踏勘，供应商应充分重视和仔细地进行这种考察，以便供应商有关编制响应文件和签署合同所涉及的</w:t>
      </w:r>
      <w:r w:rsidRPr="006B2510">
        <w:rPr>
          <w:rFonts w:ascii="宋体" w:hAnsi="宋体" w:hint="eastAsia"/>
          <w:szCs w:val="21"/>
        </w:rPr>
        <w:lastRenderedPageBreak/>
        <w:t>资料。</w:t>
      </w:r>
    </w:p>
    <w:p w:rsidR="00B91872" w:rsidRPr="006B2510" w:rsidRDefault="00B91872" w:rsidP="00B91872">
      <w:pPr>
        <w:numPr>
          <w:ilvl w:val="0"/>
          <w:numId w:val="4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年度高压电气设备</w:t>
      </w:r>
      <w:r>
        <w:rPr>
          <w:rFonts w:ascii="宋体" w:hAnsi="宋体" w:hint="eastAsia"/>
          <w:szCs w:val="21"/>
        </w:rPr>
        <w:t>维护与</w:t>
      </w:r>
      <w:r w:rsidRPr="006B2510">
        <w:rPr>
          <w:rFonts w:ascii="宋体" w:hAnsi="宋体" w:hint="eastAsia"/>
          <w:szCs w:val="21"/>
        </w:rPr>
        <w:t>定期检测。如无特殊情况，安排在</w:t>
      </w:r>
      <w:r>
        <w:rPr>
          <w:rFonts w:ascii="宋体" w:hAnsi="宋体" w:hint="eastAsia"/>
          <w:szCs w:val="21"/>
        </w:rPr>
        <w:t>每年1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月至1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 w:rsidRPr="006B2510">
        <w:rPr>
          <w:rFonts w:ascii="宋体" w:hAnsi="宋体" w:hint="eastAsia"/>
          <w:szCs w:val="21"/>
        </w:rPr>
        <w:t>间进行，由用户配合安排停电，并填写好高压电气设备试验记录。</w:t>
      </w:r>
    </w:p>
    <w:p w:rsidR="00B91872" w:rsidRPr="006B2510" w:rsidRDefault="00B91872" w:rsidP="00B91872">
      <w:pPr>
        <w:numPr>
          <w:ilvl w:val="0"/>
          <w:numId w:val="4"/>
        </w:numPr>
        <w:autoSpaceDE w:val="0"/>
        <w:autoSpaceDN w:val="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:rsidR="00B91872" w:rsidRDefault="00B91872" w:rsidP="00B91872">
      <w:pPr>
        <w:numPr>
          <w:ilvl w:val="1"/>
          <w:numId w:val="3"/>
        </w:numPr>
        <w:spacing w:line="360" w:lineRule="auto"/>
        <w:rPr>
          <w:rFonts w:ascii="宋体" w:hAnsi="宋体"/>
          <w:b/>
          <w:kern w:val="44"/>
          <w:szCs w:val="21"/>
        </w:rPr>
      </w:pPr>
      <w:r w:rsidRPr="00C52545">
        <w:rPr>
          <w:rFonts w:ascii="宋体" w:hAnsi="宋体" w:hint="eastAsia"/>
          <w:b/>
          <w:kern w:val="44"/>
          <w:szCs w:val="21"/>
        </w:rPr>
        <w:t>高压配电设备维保清单</w:t>
      </w:r>
    </w:p>
    <w:tbl>
      <w:tblPr>
        <w:tblpPr w:leftFromText="180" w:rightFromText="180" w:vertAnchor="text" w:tblpY="1"/>
        <w:tblOverlap w:val="never"/>
        <w:tblW w:w="9409" w:type="dxa"/>
        <w:tblInd w:w="108" w:type="dxa"/>
        <w:tblLook w:val="04A0"/>
      </w:tblPr>
      <w:tblGrid>
        <w:gridCol w:w="498"/>
        <w:gridCol w:w="1345"/>
        <w:gridCol w:w="2410"/>
        <w:gridCol w:w="4252"/>
        <w:gridCol w:w="891"/>
        <w:gridCol w:w="13"/>
      </w:tblGrid>
      <w:tr w:rsidR="00B91872" w:rsidRPr="003F7818" w:rsidTr="00F62745">
        <w:trPr>
          <w:trHeight w:val="600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配电维保设备清单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数量(具)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广州市天河区金穗路7号中山大学中心眼科中心高压开关室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KYN-12 （G01-G15）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直流屏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SCB11-1000kVA （#1、#2）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SCB11-1250kVA （#3、＃4）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SCB11-1600kVA （＃5、＃6）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配变温控装置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隽雅F13盈信广场开关房至中山大学中心眼科中心高压开关室ZRYJV22-3*300/390m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390米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花穗F20金穗路9号开关房至中山大学中心眼科中心高压开关室ZRYJV22-3*300/240m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240米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广州市越秀区先烈南路54号中山大学中心眼科中心高压开关室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KYN29A-12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直流屏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SCB9-2000kVA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SCB9-1600kVA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配变温控装置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区庄F2中山医科大学肿瘤防治中心开关房至中山医科大学眼科中心高压室YJV22-240mm/442米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442米</w:t>
            </w:r>
          </w:p>
        </w:tc>
      </w:tr>
      <w:tr w:rsidR="00B91872" w:rsidRPr="003F7818" w:rsidTr="00F62745">
        <w:trPr>
          <w:gridAfter w:val="1"/>
          <w:wAfter w:w="13" w:type="dxa"/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环风F7执信开关房至中山医科大学眼科中心高压室YJV22-240mm/252米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252米</w:t>
            </w:r>
          </w:p>
        </w:tc>
      </w:tr>
    </w:tbl>
    <w:p w:rsidR="00B91872" w:rsidRPr="00C52545" w:rsidRDefault="00B91872" w:rsidP="00B91872">
      <w:pPr>
        <w:spacing w:line="360" w:lineRule="auto"/>
        <w:ind w:left="1170"/>
        <w:rPr>
          <w:rFonts w:ascii="宋体" w:hAnsi="宋体" w:hint="eastAsia"/>
          <w:b/>
          <w:kern w:val="44"/>
          <w:szCs w:val="21"/>
        </w:rPr>
      </w:pPr>
    </w:p>
    <w:p w:rsidR="00B91872" w:rsidRPr="006B2510" w:rsidRDefault="00B91872" w:rsidP="00B91872">
      <w:pPr>
        <w:autoSpaceDE w:val="0"/>
        <w:autoSpaceDN w:val="0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★</w:t>
      </w:r>
      <w:r w:rsidRPr="003104EA">
        <w:rPr>
          <w:rFonts w:ascii="宋体" w:hAnsi="宋体" w:hint="eastAsia"/>
          <w:szCs w:val="21"/>
        </w:rPr>
        <w:t>高压配电设备维保清单</w:t>
      </w:r>
      <w:r>
        <w:rPr>
          <w:rFonts w:ascii="宋体" w:hAnsi="宋体" w:hint="eastAsia"/>
          <w:szCs w:val="21"/>
        </w:rPr>
        <w:t>与数量仅供参考，具体以采购人现场数量为准，合同服务期内</w:t>
      </w:r>
      <w:r>
        <w:rPr>
          <w:rFonts w:ascii="宋体" w:hAnsi="宋体" w:hint="eastAsia"/>
          <w:szCs w:val="21"/>
        </w:rPr>
        <w:lastRenderedPageBreak/>
        <w:t>采购人的设备型号与数量发生变化也不变更合同总价。</w:t>
      </w:r>
    </w:p>
    <w:p w:rsidR="00B91872" w:rsidRPr="006B2510" w:rsidRDefault="00B91872" w:rsidP="00B91872">
      <w:pPr>
        <w:autoSpaceDE w:val="0"/>
        <w:autoSpaceDN w:val="0"/>
        <w:ind w:left="300"/>
        <w:rPr>
          <w:rFonts w:ascii="宋体" w:hAnsi="宋体" w:hint="eastAsia"/>
          <w:szCs w:val="21"/>
        </w:rPr>
      </w:pPr>
    </w:p>
    <w:p w:rsidR="00B91872" w:rsidRPr="00C52545" w:rsidRDefault="00B91872" w:rsidP="00B91872">
      <w:pPr>
        <w:numPr>
          <w:ilvl w:val="1"/>
          <w:numId w:val="3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 w:rsidRPr="00C52545">
        <w:rPr>
          <w:rFonts w:ascii="宋体" w:hAnsi="宋体" w:hint="eastAsia"/>
          <w:b/>
          <w:kern w:val="44"/>
          <w:szCs w:val="21"/>
        </w:rPr>
        <w:t>验收要求</w:t>
      </w:r>
    </w:p>
    <w:p w:rsidR="00B91872" w:rsidRPr="006B2510" w:rsidRDefault="00B91872" w:rsidP="00B91872">
      <w:pPr>
        <w:autoSpaceDE w:val="0"/>
        <w:autoSpaceDN w:val="0"/>
        <w:ind w:left="30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1、定期巡检、维修、维护服务提供相应的工作报告。</w:t>
      </w:r>
    </w:p>
    <w:p w:rsidR="00B91872" w:rsidRPr="006B2510" w:rsidRDefault="00B91872" w:rsidP="00B91872">
      <w:pPr>
        <w:autoSpaceDE w:val="0"/>
        <w:autoSpaceDN w:val="0"/>
        <w:ind w:left="300"/>
        <w:rPr>
          <w:rFonts w:ascii="宋体" w:hAnsi="宋体" w:hint="eastAsia"/>
          <w:szCs w:val="21"/>
        </w:rPr>
      </w:pPr>
      <w:r w:rsidRPr="006B2510">
        <w:rPr>
          <w:rFonts w:ascii="宋体" w:hAnsi="宋体" w:hint="eastAsia"/>
          <w:szCs w:val="21"/>
        </w:rPr>
        <w:t>2、技术服务工作的形式为完成并提交预防性试验报告。</w:t>
      </w:r>
    </w:p>
    <w:p w:rsidR="00B91872" w:rsidRPr="006B2510" w:rsidRDefault="00B91872" w:rsidP="00B91872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 w:rsidRPr="006B2510">
        <w:rPr>
          <w:rFonts w:ascii="宋体" w:hAnsi="宋体" w:hint="eastAsia"/>
          <w:b/>
          <w:kern w:val="44"/>
          <w:szCs w:val="21"/>
        </w:rPr>
        <w:t>投标限价与支付方式</w:t>
      </w:r>
    </w:p>
    <w:p w:rsidR="00B91872" w:rsidRPr="003104EA" w:rsidRDefault="00B91872" w:rsidP="00B91872">
      <w:pPr>
        <w:spacing w:line="360" w:lineRule="auto"/>
        <w:ind w:firstLine="555"/>
        <w:jc w:val="left"/>
        <w:rPr>
          <w:rFonts w:ascii="宋体" w:hAnsi="宋体" w:cs="宋体" w:hint="eastAsia"/>
          <w:szCs w:val="21"/>
        </w:rPr>
      </w:pPr>
      <w:r w:rsidRPr="003104EA">
        <w:rPr>
          <w:rFonts w:ascii="宋体" w:hAnsi="宋体" w:cs="宋体" w:hint="eastAsia"/>
          <w:szCs w:val="21"/>
        </w:rPr>
        <w:t>一、</w:t>
      </w:r>
      <w:r>
        <w:rPr>
          <w:rFonts w:ascii="宋体" w:hAnsi="宋体" w:cs="宋体" w:hint="eastAsia"/>
          <w:szCs w:val="21"/>
        </w:rPr>
        <w:t>服务期限为2</w:t>
      </w:r>
      <w:r>
        <w:rPr>
          <w:rFonts w:ascii="宋体" w:hAnsi="宋体" w:cs="宋体"/>
          <w:szCs w:val="21"/>
        </w:rPr>
        <w:t>023</w:t>
      </w:r>
      <w:r>
        <w:rPr>
          <w:rFonts w:ascii="宋体" w:hAnsi="宋体" w:cs="宋体" w:hint="eastAsia"/>
          <w:szCs w:val="21"/>
        </w:rPr>
        <w:t>年1月1日至2</w:t>
      </w:r>
      <w:r>
        <w:rPr>
          <w:rFonts w:ascii="宋体" w:hAnsi="宋体" w:cs="宋体"/>
          <w:szCs w:val="21"/>
        </w:rPr>
        <w:t>024</w:t>
      </w:r>
      <w:r>
        <w:rPr>
          <w:rFonts w:ascii="宋体" w:hAnsi="宋体" w:cs="宋体" w:hint="eastAsia"/>
          <w:szCs w:val="21"/>
        </w:rPr>
        <w:t>年1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月3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日。</w:t>
      </w:r>
      <w:r w:rsidRPr="003104EA">
        <w:rPr>
          <w:rFonts w:ascii="宋体" w:hAnsi="宋体" w:hint="eastAsia"/>
          <w:kern w:val="44"/>
          <w:szCs w:val="21"/>
        </w:rPr>
        <w:t>投标限价</w:t>
      </w:r>
      <w:r w:rsidRPr="003104EA">
        <w:rPr>
          <w:rFonts w:ascii="宋体" w:hAnsi="宋体" w:cs="宋体" w:hint="eastAsia"/>
          <w:szCs w:val="21"/>
        </w:rPr>
        <w:t>为人民币（大写）</w:t>
      </w:r>
      <w:r w:rsidRPr="003104EA">
        <w:rPr>
          <w:rFonts w:ascii="宋体" w:hAnsi="宋体" w:cs="宋体" w:hint="eastAsia"/>
          <w:szCs w:val="21"/>
          <w:u w:val="single"/>
        </w:rPr>
        <w:t>壹拾贰万捌仟元整(¥1</w:t>
      </w:r>
      <w:r w:rsidRPr="003104EA">
        <w:rPr>
          <w:rFonts w:ascii="宋体" w:hAnsi="宋体" w:cs="宋体"/>
          <w:szCs w:val="21"/>
          <w:u w:val="single"/>
        </w:rPr>
        <w:t>2800</w:t>
      </w:r>
      <w:r w:rsidRPr="003104EA">
        <w:rPr>
          <w:rFonts w:ascii="宋体" w:hAnsi="宋体" w:cs="宋体" w:hint="eastAsia"/>
          <w:szCs w:val="21"/>
          <w:u w:val="single"/>
        </w:rPr>
        <w:t>0.00元)</w:t>
      </w:r>
      <w:r w:rsidRPr="003104EA">
        <w:rPr>
          <w:rFonts w:ascii="宋体" w:hAnsi="宋体" w:cs="宋体" w:hint="eastAsia"/>
          <w:szCs w:val="21"/>
        </w:rPr>
        <w:t xml:space="preserve"> </w:t>
      </w:r>
    </w:p>
    <w:p w:rsidR="00B91872" w:rsidRPr="006B2510" w:rsidRDefault="00B91872" w:rsidP="00B91872">
      <w:pPr>
        <w:spacing w:line="360" w:lineRule="auto"/>
        <w:ind w:firstLine="55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二、合同款项</w:t>
      </w:r>
      <w:r w:rsidRPr="006B2510">
        <w:rPr>
          <w:rFonts w:ascii="宋体" w:hAnsi="宋体" w:cs="宋体" w:hint="eastAsia"/>
          <w:szCs w:val="21"/>
        </w:rPr>
        <w:t>分两期支付，每次支付中标金额的一半，具体支付时间如下：</w:t>
      </w:r>
    </w:p>
    <w:p w:rsidR="00B91872" w:rsidRPr="006B2510" w:rsidRDefault="00B91872" w:rsidP="00B91872">
      <w:pPr>
        <w:spacing w:line="360" w:lineRule="auto"/>
        <w:ind w:leftChars="404" w:left="848" w:firstLineChars="68" w:firstLine="143"/>
        <w:rPr>
          <w:rFonts w:ascii="宋体" w:hAnsi="宋体" w:cs="宋体" w:hint="eastAsia"/>
          <w:szCs w:val="21"/>
        </w:rPr>
      </w:pPr>
      <w:r w:rsidRPr="006B2510">
        <w:rPr>
          <w:rFonts w:ascii="宋体" w:hAnsi="宋体" w:cs="宋体" w:hint="eastAsia"/>
          <w:szCs w:val="21"/>
        </w:rPr>
        <w:t>1.完成2</w:t>
      </w:r>
      <w:r w:rsidRPr="006B2510">
        <w:rPr>
          <w:rFonts w:ascii="宋体" w:hAnsi="宋体" w:cs="宋体"/>
          <w:szCs w:val="21"/>
        </w:rPr>
        <w:t>023</w:t>
      </w:r>
      <w:r w:rsidRPr="006B2510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全年的</w:t>
      </w:r>
      <w:r w:rsidRPr="006B2510">
        <w:rPr>
          <w:rFonts w:ascii="宋体" w:hAnsi="宋体" w:cs="宋体" w:hint="eastAsia"/>
          <w:szCs w:val="21"/>
        </w:rPr>
        <w:t>服务</w:t>
      </w:r>
      <w:r>
        <w:rPr>
          <w:rFonts w:ascii="宋体" w:hAnsi="宋体" w:cs="宋体" w:hint="eastAsia"/>
          <w:szCs w:val="21"/>
        </w:rPr>
        <w:t>内容</w:t>
      </w:r>
      <w:r w:rsidRPr="006B2510">
        <w:rPr>
          <w:rFonts w:ascii="宋体" w:hAnsi="宋体" w:cs="宋体" w:hint="eastAsia"/>
          <w:szCs w:val="21"/>
        </w:rPr>
        <w:t>后于</w:t>
      </w:r>
      <w:r w:rsidRPr="006B2510">
        <w:rPr>
          <w:rFonts w:ascii="宋体" w:hAnsi="宋体" w:hint="eastAsia"/>
          <w:kern w:val="0"/>
          <w:szCs w:val="21"/>
          <w:u w:val="single"/>
        </w:rPr>
        <w:t xml:space="preserve"> 202</w:t>
      </w:r>
      <w:r w:rsidRPr="006B2510">
        <w:rPr>
          <w:rFonts w:ascii="宋体" w:hAnsi="宋体"/>
          <w:kern w:val="0"/>
          <w:szCs w:val="21"/>
          <w:u w:val="single"/>
        </w:rPr>
        <w:t>4</w:t>
      </w:r>
      <w:r w:rsidRPr="006B2510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  <w:u w:val="single"/>
        </w:rPr>
        <w:t>3</w:t>
      </w:r>
      <w:r w:rsidRPr="006B2510">
        <w:rPr>
          <w:rFonts w:ascii="宋体" w:hAnsi="宋体" w:hint="eastAsia"/>
          <w:kern w:val="0"/>
          <w:szCs w:val="21"/>
        </w:rPr>
        <w:t>月</w:t>
      </w:r>
      <w:r w:rsidRPr="000742DE">
        <w:rPr>
          <w:rFonts w:ascii="宋体" w:hAnsi="宋体" w:hint="eastAsia"/>
          <w:kern w:val="0"/>
          <w:szCs w:val="21"/>
          <w:u w:val="single"/>
        </w:rPr>
        <w:t>31</w:t>
      </w:r>
      <w:r w:rsidRPr="006B2510">
        <w:rPr>
          <w:rFonts w:ascii="宋体" w:hAnsi="宋体" w:hint="eastAsia"/>
          <w:kern w:val="0"/>
          <w:szCs w:val="21"/>
        </w:rPr>
        <w:t>日前</w:t>
      </w:r>
      <w:r w:rsidRPr="006B2510">
        <w:rPr>
          <w:rFonts w:ascii="宋体" w:hAnsi="宋体" w:cs="宋体" w:hint="eastAsia"/>
          <w:szCs w:val="21"/>
        </w:rPr>
        <w:t>支付第一期款项</w:t>
      </w:r>
    </w:p>
    <w:p w:rsidR="00B91872" w:rsidRPr="006B2510" w:rsidRDefault="00B91872" w:rsidP="00B91872">
      <w:pPr>
        <w:spacing w:line="360" w:lineRule="auto"/>
        <w:ind w:leftChars="404" w:left="848" w:firstLineChars="68" w:firstLine="143"/>
        <w:rPr>
          <w:rFonts w:ascii="宋体" w:hAnsi="宋体" w:cs="宋体" w:hint="eastAsia"/>
          <w:szCs w:val="21"/>
        </w:rPr>
      </w:pPr>
      <w:r w:rsidRPr="006B2510">
        <w:rPr>
          <w:rFonts w:ascii="宋体" w:hAnsi="宋体" w:cs="宋体" w:hint="eastAsia"/>
          <w:szCs w:val="21"/>
        </w:rPr>
        <w:t>2.完成2</w:t>
      </w:r>
      <w:r w:rsidRPr="006B2510">
        <w:rPr>
          <w:rFonts w:ascii="宋体" w:hAnsi="宋体" w:cs="宋体"/>
          <w:szCs w:val="21"/>
        </w:rPr>
        <w:t>024</w:t>
      </w:r>
      <w:r w:rsidRPr="006B2510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全年的</w:t>
      </w:r>
      <w:r w:rsidRPr="006B2510">
        <w:rPr>
          <w:rFonts w:ascii="宋体" w:hAnsi="宋体" w:cs="宋体" w:hint="eastAsia"/>
          <w:szCs w:val="21"/>
        </w:rPr>
        <w:t>服务</w:t>
      </w:r>
      <w:r>
        <w:rPr>
          <w:rFonts w:ascii="宋体" w:hAnsi="宋体" w:cs="宋体" w:hint="eastAsia"/>
          <w:szCs w:val="21"/>
        </w:rPr>
        <w:t>内容</w:t>
      </w:r>
      <w:r w:rsidRPr="006B2510">
        <w:rPr>
          <w:rFonts w:ascii="宋体" w:hAnsi="宋体" w:cs="宋体" w:hint="eastAsia"/>
          <w:szCs w:val="21"/>
        </w:rPr>
        <w:t>后于</w:t>
      </w:r>
      <w:r w:rsidRPr="006B2510">
        <w:rPr>
          <w:rFonts w:ascii="宋体" w:hAnsi="宋体" w:hint="eastAsia"/>
          <w:kern w:val="0"/>
          <w:szCs w:val="21"/>
          <w:u w:val="single"/>
        </w:rPr>
        <w:t>202</w:t>
      </w:r>
      <w:r>
        <w:rPr>
          <w:rFonts w:ascii="宋体" w:hAnsi="宋体"/>
          <w:kern w:val="0"/>
          <w:szCs w:val="21"/>
          <w:u w:val="single"/>
        </w:rPr>
        <w:t>5</w:t>
      </w:r>
      <w:r w:rsidRPr="006B2510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  <w:u w:val="single"/>
        </w:rPr>
        <w:t>3</w:t>
      </w:r>
      <w:r w:rsidRPr="006B2510">
        <w:rPr>
          <w:rFonts w:ascii="宋体" w:hAnsi="宋体" w:hint="eastAsia"/>
          <w:kern w:val="0"/>
          <w:szCs w:val="21"/>
        </w:rPr>
        <w:t>月</w:t>
      </w:r>
      <w:r w:rsidRPr="000742DE">
        <w:rPr>
          <w:rFonts w:ascii="宋体" w:hAnsi="宋体" w:hint="eastAsia"/>
          <w:kern w:val="0"/>
          <w:szCs w:val="21"/>
          <w:u w:val="single"/>
        </w:rPr>
        <w:t>31</w:t>
      </w:r>
      <w:r w:rsidRPr="006B2510">
        <w:rPr>
          <w:rFonts w:ascii="宋体" w:hAnsi="宋体" w:hint="eastAsia"/>
          <w:kern w:val="0"/>
          <w:szCs w:val="21"/>
        </w:rPr>
        <w:t>日前</w:t>
      </w:r>
      <w:r w:rsidRPr="006B2510">
        <w:rPr>
          <w:rFonts w:ascii="宋体" w:hAnsi="宋体" w:cs="宋体" w:hint="eastAsia"/>
          <w:szCs w:val="21"/>
        </w:rPr>
        <w:t>支付第二期款项</w:t>
      </w:r>
    </w:p>
    <w:p w:rsidR="00B91872" w:rsidRDefault="00B91872" w:rsidP="00B91872">
      <w:pPr>
        <w:autoSpaceDE w:val="0"/>
        <w:autoSpaceDN w:val="0"/>
        <w:ind w:left="300"/>
        <w:rPr>
          <w:rFonts w:ascii="宋体" w:hAnsi="宋体"/>
          <w:szCs w:val="21"/>
        </w:rPr>
      </w:pPr>
    </w:p>
    <w:p w:rsidR="00B91872" w:rsidRPr="006B2510" w:rsidRDefault="00B91872" w:rsidP="00B91872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报价表</w:t>
      </w:r>
    </w:p>
    <w:tbl>
      <w:tblPr>
        <w:tblpPr w:leftFromText="180" w:rightFromText="180" w:vertAnchor="text" w:tblpY="1"/>
        <w:tblOverlap w:val="never"/>
        <w:tblW w:w="9214" w:type="dxa"/>
        <w:tblInd w:w="-318" w:type="dxa"/>
        <w:tblLook w:val="04A0"/>
      </w:tblPr>
      <w:tblGrid>
        <w:gridCol w:w="567"/>
        <w:gridCol w:w="1041"/>
        <w:gridCol w:w="1653"/>
        <w:gridCol w:w="2693"/>
        <w:gridCol w:w="1236"/>
        <w:gridCol w:w="1132"/>
        <w:gridCol w:w="892"/>
      </w:tblGrid>
      <w:tr w:rsidR="00B91872" w:rsidRPr="003F7818" w:rsidTr="00F62745">
        <w:trPr>
          <w:trHeight w:val="600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报价表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数量(具)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单价（两年期）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总价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广州市天河区金穗路7号中山大学中心眼科中心高压开关室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KYN-12 （G01-G15）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直流屏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SCB11-1000kVA （#1、#2）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SCB11-1250kVA （#3、＃4）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SCB11-1600kVA （＃5、＃6）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配变温控装置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隽雅F13盈信广场开关房至中山大学中心眼科中心高压开关室ZRYJV22-3*300/390m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390米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花穗F20金穗路9号开关房至中山大学中心眼科中心高压开关室ZRYJV22-3*300/240m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240米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广州市越秀区</w:t>
            </w: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先烈南路54号中山大学中心眼科中心高压开关室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高压柜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KYN29A-12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直流屏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SCB9-2000kVA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SCB9-1600kVA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配变温控装置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区庄F2中山医科大学肿瘤防治中心开关房至中山医科大学眼科中心高压室YJV22-240mm/442米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442米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872" w:rsidRPr="003F7818" w:rsidTr="00F6274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10KV高压线路含电缆头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环风F7执信开关房至中山医科大学眼科中心高压室YJV22-240mm/252米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72" w:rsidRPr="003F7818" w:rsidRDefault="00B91872" w:rsidP="00F6274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252米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72" w:rsidRPr="003F7818" w:rsidRDefault="00B91872" w:rsidP="00F627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F78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91872" w:rsidRDefault="00B91872" w:rsidP="00B91872">
      <w:pPr>
        <w:autoSpaceDE w:val="0"/>
        <w:autoSpaceDN w:val="0"/>
        <w:ind w:left="300"/>
        <w:rPr>
          <w:rFonts w:ascii="宋体" w:hAnsi="宋体"/>
          <w:szCs w:val="21"/>
        </w:rPr>
      </w:pPr>
    </w:p>
    <w:p w:rsidR="002C6AC1" w:rsidRDefault="002C6AC1"/>
    <w:sectPr w:rsidR="002C6AC1" w:rsidSect="002C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59" w:rsidRDefault="00E94E59" w:rsidP="00B91872">
      <w:r>
        <w:separator/>
      </w:r>
    </w:p>
  </w:endnote>
  <w:endnote w:type="continuationSeparator" w:id="0">
    <w:p w:rsidR="00E94E59" w:rsidRDefault="00E94E59" w:rsidP="00B9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59" w:rsidRDefault="00E94E59" w:rsidP="00B91872">
      <w:r>
        <w:separator/>
      </w:r>
    </w:p>
  </w:footnote>
  <w:footnote w:type="continuationSeparator" w:id="0">
    <w:p w:rsidR="00E94E59" w:rsidRDefault="00E94E59" w:rsidP="00B91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75A6"/>
    <w:multiLevelType w:val="hybridMultilevel"/>
    <w:tmpl w:val="F7EA7DB6"/>
    <w:lvl w:ilvl="0" w:tplc="256871F8">
      <w:start w:val="1"/>
      <w:numFmt w:val="japaneseCounting"/>
      <w:lvlText w:val="第%1条"/>
      <w:lvlJc w:val="left"/>
      <w:pPr>
        <w:ind w:left="1260" w:hanging="960"/>
      </w:pPr>
      <w:rPr>
        <w:rFonts w:hint="default"/>
      </w:rPr>
    </w:lvl>
    <w:lvl w:ilvl="1" w:tplc="938C02CC">
      <w:start w:val="1"/>
      <w:numFmt w:val="japaneseCounting"/>
      <w:lvlText w:val="%2、"/>
      <w:lvlJc w:val="left"/>
      <w:pPr>
        <w:ind w:left="11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4A795812"/>
    <w:multiLevelType w:val="hybridMultilevel"/>
    <w:tmpl w:val="BBF2D79E"/>
    <w:lvl w:ilvl="0" w:tplc="FFFFFFFF">
      <w:start w:val="1"/>
      <w:numFmt w:val="japaneseCounting"/>
      <w:lvlText w:val="第%1条"/>
      <w:lvlJc w:val="left"/>
      <w:pPr>
        <w:ind w:left="1260" w:hanging="9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72" w:hanging="420"/>
      </w:pPr>
    </w:lvl>
    <w:lvl w:ilvl="2" w:tplc="FFFFFFFF" w:tentative="1">
      <w:start w:val="1"/>
      <w:numFmt w:val="lowerRoman"/>
      <w:lvlText w:val="%3."/>
      <w:lvlJc w:val="right"/>
      <w:pPr>
        <w:ind w:left="1560" w:hanging="420"/>
      </w:pPr>
    </w:lvl>
    <w:lvl w:ilvl="3" w:tplc="FFFFFFFF" w:tentative="1">
      <w:start w:val="1"/>
      <w:numFmt w:val="decimal"/>
      <w:lvlText w:val="%4."/>
      <w:lvlJc w:val="left"/>
      <w:pPr>
        <w:ind w:left="1980" w:hanging="420"/>
      </w:pPr>
    </w:lvl>
    <w:lvl w:ilvl="4" w:tplc="FFFFFFFF" w:tentative="1">
      <w:start w:val="1"/>
      <w:numFmt w:val="lowerLetter"/>
      <w:lvlText w:val="%5)"/>
      <w:lvlJc w:val="left"/>
      <w:pPr>
        <w:ind w:left="2400" w:hanging="420"/>
      </w:pPr>
    </w:lvl>
    <w:lvl w:ilvl="5" w:tplc="FFFFFFFF" w:tentative="1">
      <w:start w:val="1"/>
      <w:numFmt w:val="lowerRoman"/>
      <w:lvlText w:val="%6."/>
      <w:lvlJc w:val="right"/>
      <w:pPr>
        <w:ind w:left="2820" w:hanging="420"/>
      </w:pPr>
    </w:lvl>
    <w:lvl w:ilvl="6" w:tplc="FFFFFFFF" w:tentative="1">
      <w:start w:val="1"/>
      <w:numFmt w:val="decimal"/>
      <w:lvlText w:val="%7."/>
      <w:lvlJc w:val="left"/>
      <w:pPr>
        <w:ind w:left="3240" w:hanging="420"/>
      </w:pPr>
    </w:lvl>
    <w:lvl w:ilvl="7" w:tplc="FFFFFFFF" w:tentative="1">
      <w:start w:val="1"/>
      <w:numFmt w:val="lowerLetter"/>
      <w:lvlText w:val="%8)"/>
      <w:lvlJc w:val="left"/>
      <w:pPr>
        <w:ind w:left="3660" w:hanging="420"/>
      </w:pPr>
    </w:lvl>
    <w:lvl w:ilvl="8" w:tplc="FFFFFFFF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7883AB5"/>
    <w:multiLevelType w:val="multilevel"/>
    <w:tmpl w:val="57883AB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22A35"/>
    <w:multiLevelType w:val="multilevel"/>
    <w:tmpl w:val="5F422A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1B6C24"/>
    <w:multiLevelType w:val="hybridMultilevel"/>
    <w:tmpl w:val="DE0297F4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5">
    <w:nsid w:val="7F9C4D52"/>
    <w:multiLevelType w:val="hybridMultilevel"/>
    <w:tmpl w:val="21B4398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872"/>
    <w:rsid w:val="002C6AC1"/>
    <w:rsid w:val="00B91872"/>
    <w:rsid w:val="00E9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</dc:creator>
  <cp:keywords/>
  <dc:description/>
  <cp:lastModifiedBy>MWX</cp:lastModifiedBy>
  <cp:revision>2</cp:revision>
  <dcterms:created xsi:type="dcterms:W3CDTF">2022-11-21T03:36:00Z</dcterms:created>
  <dcterms:modified xsi:type="dcterms:W3CDTF">2022-11-21T03:37:00Z</dcterms:modified>
</cp:coreProperties>
</file>