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701B3">
      <w:pPr>
        <w:spacing w:before="114" w:line="225" w:lineRule="auto"/>
        <w:ind w:left="1994"/>
        <w:rPr>
          <w:rFonts w:ascii="宋体" w:hAnsi="宋体" w:eastAsia="宋体" w:cs="宋体"/>
          <w:sz w:val="35"/>
          <w:szCs w:val="35"/>
        </w:rPr>
      </w:pPr>
      <w:r>
        <w:rPr>
          <w:rFonts w:ascii="Times New Roman" w:hAnsi="Times New Roman" w:eastAsia="Times New Roman" w:cs="Times New Roman"/>
          <w:b/>
          <w:bCs/>
          <w:spacing w:val="8"/>
          <w:sz w:val="35"/>
          <w:szCs w:val="35"/>
        </w:rPr>
        <w:t>202</w:t>
      </w:r>
      <w:r>
        <w:rPr>
          <w:rFonts w:hint="eastAsia" w:ascii="Times New Roman" w:hAnsi="Times New Roman" w:eastAsia="宋体" w:cs="Times New Roman"/>
          <w:b/>
          <w:bCs/>
          <w:spacing w:val="8"/>
          <w:sz w:val="35"/>
          <w:szCs w:val="35"/>
          <w:lang w:val="en-US" w:eastAsia="zh-CN"/>
        </w:rPr>
        <w:t>4</w:t>
      </w:r>
      <w:r>
        <w:rPr>
          <w:rFonts w:ascii="宋体" w:hAnsi="宋体" w:eastAsia="宋体" w:cs="宋体"/>
          <w:spacing w:val="8"/>
          <w:sz w:val="35"/>
          <w:szCs w:val="35"/>
          <w14:textOutline w14:w="6537" w14:cap="sq" w14:cmpd="sng">
            <w14:solidFill>
              <w14:srgbClr w14:val="000000"/>
            </w14:solidFill>
            <w14:prstDash w14:val="solid"/>
            <w14:bevel/>
          </w14:textOutline>
        </w:rPr>
        <w:t>年度</w:t>
      </w:r>
      <w:bookmarkStart w:id="0" w:name="_GoBack"/>
      <w:r>
        <w:rPr>
          <w:rFonts w:ascii="宋体" w:hAnsi="宋体" w:eastAsia="宋体" w:cs="宋体"/>
          <w:spacing w:val="8"/>
          <w:sz w:val="35"/>
          <w:szCs w:val="35"/>
          <w14:textOutline w14:w="6537" w14:cap="sq" w14:cmpd="sng">
            <w14:solidFill>
              <w14:srgbClr w14:val="000000"/>
            </w14:solidFill>
            <w14:prstDash w14:val="solid"/>
            <w14:bevel/>
          </w14:textOutline>
        </w:rPr>
        <w:t>广东省科学技术奖公示表</w:t>
      </w:r>
      <w:bookmarkEnd w:id="0"/>
    </w:p>
    <w:p w14:paraId="3AA73EA1">
      <w:pPr>
        <w:spacing w:before="41" w:line="225" w:lineRule="auto"/>
        <w:jc w:val="center"/>
        <w:outlineLvl w:val="0"/>
        <w:rPr>
          <w:rFonts w:ascii="宋体" w:hAnsi="宋体" w:eastAsia="宋体" w:cs="宋体"/>
          <w:sz w:val="35"/>
          <w:szCs w:val="35"/>
        </w:rPr>
      </w:pPr>
      <w:r>
        <w:rPr>
          <w:rFonts w:ascii="宋体" w:hAnsi="宋体" w:eastAsia="宋体" w:cs="宋体"/>
          <w:spacing w:val="-33"/>
          <w:sz w:val="35"/>
          <w:szCs w:val="35"/>
          <w14:textOutline w14:w="6537" w14:cap="sq" w14:cmpd="sng">
            <w14:solidFill>
              <w14:srgbClr w14:val="000000"/>
            </w14:solidFill>
            <w14:prstDash w14:val="solid"/>
            <w14:bevel/>
          </w14:textOutline>
        </w:rPr>
        <w:t>（科技进步奖</w:t>
      </w:r>
      <w:r>
        <w:rPr>
          <w:rFonts w:ascii="宋体" w:hAnsi="宋体" w:eastAsia="宋体" w:cs="宋体"/>
          <w:spacing w:val="-34"/>
          <w:sz w:val="35"/>
          <w:szCs w:val="35"/>
          <w14:textOutline w14:w="6537" w14:cap="sq" w14:cmpd="sng">
            <w14:solidFill>
              <w14:srgbClr w14:val="000000"/>
            </w14:solidFill>
            <w14:prstDash w14:val="solid"/>
            <w14:bevel/>
          </w14:textOutline>
        </w:rPr>
        <w:t>）</w:t>
      </w:r>
    </w:p>
    <w:p w14:paraId="0EDF8D8D">
      <w:pPr>
        <w:spacing w:line="229" w:lineRule="exact"/>
      </w:pPr>
    </w:p>
    <w:tbl>
      <w:tblPr>
        <w:tblStyle w:val="5"/>
        <w:tblW w:w="94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9"/>
        <w:gridCol w:w="7849"/>
      </w:tblGrid>
      <w:tr w14:paraId="4CA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619" w:type="dxa"/>
            <w:vAlign w:val="top"/>
          </w:tcPr>
          <w:p w14:paraId="17344D82">
            <w:pPr>
              <w:spacing w:before="186" w:line="189" w:lineRule="auto"/>
              <w:ind w:left="389"/>
              <w:rPr>
                <w:rFonts w:hint="default" w:ascii="微软雅黑" w:hAnsi="微软雅黑" w:eastAsia="微软雅黑" w:cs="微软雅黑"/>
                <w:sz w:val="20"/>
                <w:szCs w:val="20"/>
                <w:lang w:val="en-US" w:eastAsia="zh-CN"/>
              </w:rPr>
            </w:pPr>
            <w:r>
              <w:rPr>
                <w:rFonts w:hint="eastAsia" w:ascii="微软雅黑" w:hAnsi="微软雅黑" w:eastAsia="微软雅黑" w:cs="微软雅黑"/>
                <w:b/>
                <w:bCs/>
                <w:spacing w:val="8"/>
                <w:sz w:val="20"/>
                <w:szCs w:val="20"/>
                <w:lang w:val="en-US" w:eastAsia="zh-CN"/>
              </w:rPr>
              <w:t>学科、专业评审组</w:t>
            </w:r>
          </w:p>
        </w:tc>
        <w:tc>
          <w:tcPr>
            <w:tcW w:w="7849" w:type="dxa"/>
            <w:vAlign w:val="center"/>
          </w:tcPr>
          <w:p w14:paraId="5D7A98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99" w:firstLineChars="49"/>
              <w:jc w:val="both"/>
              <w:textAlignment w:val="baseline"/>
              <w:rPr>
                <w:rFonts w:hint="default" w:eastAsia="宋体"/>
                <w:lang w:val="en-US" w:eastAsia="zh-CN"/>
              </w:rPr>
            </w:pPr>
            <w:r>
              <w:rPr>
                <w:rFonts w:hint="default" w:ascii="微软雅黑" w:hAnsi="微软雅黑" w:eastAsia="微软雅黑" w:cs="微软雅黑"/>
                <w:snapToGrid w:val="0"/>
                <w:color w:val="000000"/>
                <w:spacing w:val="2"/>
                <w:kern w:val="0"/>
                <w:sz w:val="20"/>
                <w:szCs w:val="20"/>
                <w:lang w:val="en-US" w:eastAsia="zh-CN" w:bidi="ar-SA"/>
              </w:rPr>
              <w:t>仪器仪表与电器组</w:t>
            </w:r>
          </w:p>
        </w:tc>
      </w:tr>
      <w:tr w14:paraId="131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619" w:type="dxa"/>
            <w:vAlign w:val="top"/>
          </w:tcPr>
          <w:p w14:paraId="4F4582A8">
            <w:pPr>
              <w:spacing w:before="186" w:line="189" w:lineRule="auto"/>
              <w:ind w:left="389" w:leftChars="0"/>
              <w:rPr>
                <w:rFonts w:ascii="微软雅黑" w:hAnsi="微软雅黑" w:eastAsia="微软雅黑" w:cs="微软雅黑"/>
                <w:b/>
                <w:bCs/>
                <w:spacing w:val="8"/>
                <w:sz w:val="20"/>
                <w:szCs w:val="20"/>
              </w:rPr>
            </w:pPr>
            <w:r>
              <w:rPr>
                <w:rFonts w:ascii="微软雅黑" w:hAnsi="微软雅黑" w:eastAsia="微软雅黑" w:cs="微软雅黑"/>
                <w:b/>
                <w:bCs/>
                <w:spacing w:val="8"/>
                <w:sz w:val="20"/>
                <w:szCs w:val="20"/>
              </w:rPr>
              <w:t>项目名称</w:t>
            </w:r>
          </w:p>
        </w:tc>
        <w:tc>
          <w:tcPr>
            <w:tcW w:w="7849" w:type="dxa"/>
            <w:vAlign w:val="center"/>
          </w:tcPr>
          <w:p w14:paraId="25E5B7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99" w:firstLineChars="49"/>
              <w:jc w:val="both"/>
              <w:textAlignment w:val="baseline"/>
              <w:rPr>
                <w:rFonts w:hint="default" w:ascii="微软雅黑" w:hAnsi="微软雅黑" w:eastAsia="微软雅黑" w:cs="微软雅黑"/>
                <w:snapToGrid w:val="0"/>
                <w:color w:val="000000"/>
                <w:spacing w:val="2"/>
                <w:kern w:val="0"/>
                <w:sz w:val="20"/>
                <w:szCs w:val="20"/>
                <w:lang w:val="en-US" w:eastAsia="zh-CN" w:bidi="ar-SA"/>
              </w:rPr>
            </w:pPr>
            <w:r>
              <w:rPr>
                <w:rFonts w:hint="eastAsia" w:ascii="微软雅黑" w:hAnsi="微软雅黑" w:eastAsia="微软雅黑" w:cs="微软雅黑"/>
                <w:snapToGrid w:val="0"/>
                <w:color w:val="000000"/>
                <w:spacing w:val="2"/>
                <w:kern w:val="0"/>
                <w:sz w:val="20"/>
                <w:szCs w:val="20"/>
                <w:lang w:val="en-US" w:eastAsia="zh-CN" w:bidi="ar-SA"/>
              </w:rPr>
              <w:t>中小学生视觉环境和节律健康关键技术与应用</w:t>
            </w:r>
          </w:p>
        </w:tc>
      </w:tr>
      <w:tr w14:paraId="63F2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619" w:type="dxa"/>
            <w:vAlign w:val="top"/>
          </w:tcPr>
          <w:p w14:paraId="236B7980">
            <w:pPr>
              <w:spacing w:before="186" w:line="189" w:lineRule="auto"/>
              <w:ind w:left="389" w:leftChars="0"/>
              <w:rPr>
                <w:rFonts w:hint="eastAsia" w:ascii="微软雅黑" w:hAnsi="微软雅黑" w:eastAsia="微软雅黑" w:cs="微软雅黑"/>
                <w:b/>
                <w:bCs/>
                <w:spacing w:val="8"/>
                <w:sz w:val="20"/>
                <w:szCs w:val="20"/>
                <w:lang w:val="en-US" w:eastAsia="zh-CN"/>
              </w:rPr>
            </w:pPr>
            <w:r>
              <w:rPr>
                <w:rFonts w:hint="eastAsia" w:ascii="微软雅黑" w:hAnsi="微软雅黑" w:eastAsia="微软雅黑" w:cs="微软雅黑"/>
                <w:b/>
                <w:bCs/>
                <w:spacing w:val="8"/>
                <w:sz w:val="20"/>
                <w:szCs w:val="20"/>
                <w:lang w:val="en-US" w:eastAsia="zh-CN"/>
              </w:rPr>
              <w:t>提名者</w:t>
            </w:r>
          </w:p>
        </w:tc>
        <w:tc>
          <w:tcPr>
            <w:tcW w:w="7849" w:type="dxa"/>
            <w:vAlign w:val="center"/>
          </w:tcPr>
          <w:p w14:paraId="2A602B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99" w:firstLineChars="49"/>
              <w:jc w:val="both"/>
              <w:textAlignment w:val="baseline"/>
              <w:rPr>
                <w:rFonts w:hint="default" w:ascii="微软雅黑" w:hAnsi="微软雅黑" w:eastAsia="微软雅黑" w:cs="微软雅黑"/>
                <w:snapToGrid w:val="0"/>
                <w:color w:val="000000"/>
                <w:spacing w:val="2"/>
                <w:kern w:val="0"/>
                <w:sz w:val="20"/>
                <w:szCs w:val="20"/>
                <w:lang w:val="en-US" w:eastAsia="zh-CN" w:bidi="ar-SA"/>
              </w:rPr>
            </w:pPr>
            <w:r>
              <w:rPr>
                <w:rFonts w:hint="eastAsia" w:ascii="微软雅黑" w:hAnsi="微软雅黑" w:eastAsia="微软雅黑" w:cs="微软雅黑"/>
                <w:snapToGrid w:val="0"/>
                <w:color w:val="000000"/>
                <w:spacing w:val="2"/>
                <w:kern w:val="0"/>
                <w:sz w:val="20"/>
                <w:szCs w:val="20"/>
                <w:lang w:val="en-US" w:eastAsia="zh-CN" w:bidi="ar-SA"/>
              </w:rPr>
              <w:t>广东省市场监督管理局</w:t>
            </w:r>
          </w:p>
        </w:tc>
      </w:tr>
      <w:tr w14:paraId="70B7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619" w:type="dxa"/>
            <w:vMerge w:val="restart"/>
            <w:vAlign w:val="top"/>
          </w:tcPr>
          <w:p w14:paraId="51A288DA">
            <w:pPr>
              <w:pStyle w:val="6"/>
              <w:spacing w:line="286" w:lineRule="auto"/>
            </w:pPr>
          </w:p>
          <w:p w14:paraId="1F8E4F65">
            <w:pPr>
              <w:pStyle w:val="6"/>
              <w:spacing w:line="286" w:lineRule="auto"/>
            </w:pPr>
          </w:p>
          <w:p w14:paraId="0BE9D262">
            <w:pPr>
              <w:spacing w:before="86" w:line="190" w:lineRule="auto"/>
              <w:ind w:left="180"/>
              <w:rPr>
                <w:rFonts w:ascii="微软雅黑" w:hAnsi="微软雅黑" w:eastAsia="微软雅黑" w:cs="微软雅黑"/>
                <w:b/>
                <w:bCs/>
                <w:spacing w:val="8"/>
                <w:sz w:val="20"/>
                <w:szCs w:val="20"/>
              </w:rPr>
            </w:pPr>
          </w:p>
          <w:p w14:paraId="45079E1D">
            <w:pPr>
              <w:spacing w:before="86" w:line="190" w:lineRule="auto"/>
              <w:ind w:left="180"/>
              <w:rPr>
                <w:rFonts w:ascii="微软雅黑" w:hAnsi="微软雅黑" w:eastAsia="微软雅黑" w:cs="微软雅黑"/>
                <w:sz w:val="20"/>
                <w:szCs w:val="20"/>
              </w:rPr>
            </w:pPr>
            <w:r>
              <w:rPr>
                <w:rFonts w:ascii="微软雅黑" w:hAnsi="微软雅黑" w:eastAsia="微软雅黑" w:cs="微软雅黑"/>
                <w:b/>
                <w:bCs/>
                <w:spacing w:val="8"/>
                <w:sz w:val="20"/>
                <w:szCs w:val="20"/>
              </w:rPr>
              <w:t>主要完成单位</w:t>
            </w:r>
          </w:p>
        </w:tc>
        <w:tc>
          <w:tcPr>
            <w:tcW w:w="7849" w:type="dxa"/>
            <w:vAlign w:val="top"/>
          </w:tcPr>
          <w:p w14:paraId="763CB349">
            <w:pPr>
              <w:keepNext w:val="0"/>
              <w:keepLines w:val="0"/>
              <w:pageBreakBefore w:val="0"/>
              <w:widowControl/>
              <w:kinsoku w:val="0"/>
              <w:wordWrap/>
              <w:overflowPunct/>
              <w:topLinePunct w:val="0"/>
              <w:autoSpaceDE w:val="0"/>
              <w:autoSpaceDN w:val="0"/>
              <w:bidi w:val="0"/>
              <w:adjustRightInd w:val="0"/>
              <w:snapToGrid w:val="0"/>
              <w:spacing w:line="240" w:lineRule="auto"/>
              <w:ind w:left="108"/>
              <w:textAlignment w:val="baseline"/>
              <w:rPr>
                <w:rFonts w:hint="default" w:ascii="Times New Roman" w:hAnsi="Times New Roman" w:eastAsia="微软雅黑" w:cs="Times New Roman"/>
                <w:sz w:val="20"/>
                <w:szCs w:val="20"/>
              </w:rPr>
            </w:pPr>
            <w:r>
              <w:rPr>
                <w:rFonts w:hint="default" w:ascii="Times New Roman" w:hAnsi="Times New Roman" w:eastAsia="微软雅黑" w:cs="Times New Roman"/>
                <w:spacing w:val="8"/>
                <w:sz w:val="20"/>
                <w:szCs w:val="20"/>
                <w:lang w:val="en-US" w:eastAsia="zh-CN"/>
              </w:rPr>
              <w:t>1.</w:t>
            </w:r>
            <w:r>
              <w:rPr>
                <w:rFonts w:hint="default" w:ascii="Times New Roman" w:hAnsi="Times New Roman" w:eastAsia="微软雅黑" w:cs="Times New Roman"/>
                <w:spacing w:val="8"/>
                <w:sz w:val="20"/>
                <w:szCs w:val="20"/>
              </w:rPr>
              <w:t>广东产品质量监督检验研究院</w:t>
            </w:r>
          </w:p>
        </w:tc>
      </w:tr>
      <w:tr w14:paraId="57A0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619" w:type="dxa"/>
            <w:vMerge w:val="continue"/>
            <w:vAlign w:val="top"/>
          </w:tcPr>
          <w:p w14:paraId="6774CBCB">
            <w:pPr>
              <w:pStyle w:val="6"/>
            </w:pPr>
          </w:p>
        </w:tc>
        <w:tc>
          <w:tcPr>
            <w:tcW w:w="7849" w:type="dxa"/>
            <w:vAlign w:val="top"/>
          </w:tcPr>
          <w:p w14:paraId="7D96CE87">
            <w:pPr>
              <w:keepNext w:val="0"/>
              <w:keepLines w:val="0"/>
              <w:pageBreakBefore w:val="0"/>
              <w:widowControl/>
              <w:kinsoku w:val="0"/>
              <w:wordWrap/>
              <w:overflowPunct/>
              <w:topLinePunct w:val="0"/>
              <w:autoSpaceDE w:val="0"/>
              <w:autoSpaceDN w:val="0"/>
              <w:bidi w:val="0"/>
              <w:adjustRightInd w:val="0"/>
              <w:snapToGrid w:val="0"/>
              <w:spacing w:line="240" w:lineRule="auto"/>
              <w:ind w:left="108"/>
              <w:textAlignment w:val="baseline"/>
              <w:rPr>
                <w:rFonts w:hint="eastAsia" w:ascii="Times New Roman" w:hAnsi="Times New Roman" w:eastAsia="微软雅黑" w:cs="Times New Roman"/>
                <w:sz w:val="20"/>
                <w:szCs w:val="20"/>
                <w:lang w:eastAsia="zh-CN"/>
              </w:rPr>
            </w:pPr>
            <w:r>
              <w:rPr>
                <w:rFonts w:hint="default" w:ascii="Times New Roman" w:hAnsi="Times New Roman" w:eastAsia="微软雅黑" w:cs="Times New Roman"/>
                <w:spacing w:val="2"/>
                <w:sz w:val="20"/>
                <w:szCs w:val="20"/>
                <w:lang w:val="en-US" w:eastAsia="zh-CN"/>
              </w:rPr>
              <w:t>2.</w:t>
            </w:r>
            <w:r>
              <w:rPr>
                <w:rFonts w:hint="eastAsia" w:ascii="Times New Roman" w:hAnsi="Times New Roman" w:eastAsia="微软雅黑" w:cs="Times New Roman"/>
                <w:spacing w:val="2"/>
                <w:sz w:val="20"/>
                <w:szCs w:val="20"/>
                <w:lang w:val="en-US" w:eastAsia="zh-CN"/>
              </w:rPr>
              <w:t>复旦大学</w:t>
            </w:r>
          </w:p>
        </w:tc>
      </w:tr>
      <w:tr w14:paraId="5690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619" w:type="dxa"/>
            <w:vMerge w:val="continue"/>
            <w:vAlign w:val="top"/>
          </w:tcPr>
          <w:p w14:paraId="18E4603D">
            <w:pPr>
              <w:pStyle w:val="6"/>
            </w:pPr>
          </w:p>
        </w:tc>
        <w:tc>
          <w:tcPr>
            <w:tcW w:w="7849" w:type="dxa"/>
            <w:vAlign w:val="center"/>
          </w:tcPr>
          <w:p w14:paraId="0DD7A997">
            <w:pPr>
              <w:keepNext w:val="0"/>
              <w:keepLines w:val="0"/>
              <w:pageBreakBefore w:val="0"/>
              <w:widowControl/>
              <w:kinsoku w:val="0"/>
              <w:wordWrap/>
              <w:overflowPunct/>
              <w:topLinePunct w:val="0"/>
              <w:autoSpaceDE w:val="0"/>
              <w:autoSpaceDN w:val="0"/>
              <w:bidi w:val="0"/>
              <w:adjustRightInd w:val="0"/>
              <w:snapToGrid w:val="0"/>
              <w:spacing w:line="240" w:lineRule="auto"/>
              <w:ind w:left="130"/>
              <w:jc w:val="both"/>
              <w:textAlignment w:val="baseline"/>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napToGrid w:val="0"/>
                <w:color w:val="000000"/>
                <w:spacing w:val="2"/>
                <w:kern w:val="0"/>
                <w:sz w:val="20"/>
                <w:szCs w:val="20"/>
                <w:lang w:val="en-US" w:eastAsia="zh-CN" w:bidi="ar-SA"/>
              </w:rPr>
              <w:t>3.</w:t>
            </w:r>
            <w:r>
              <w:rPr>
                <w:rFonts w:hint="eastAsia" w:ascii="Times New Roman" w:hAnsi="Times New Roman" w:eastAsia="微软雅黑" w:cs="Times New Roman"/>
                <w:snapToGrid w:val="0"/>
                <w:color w:val="000000"/>
                <w:spacing w:val="2"/>
                <w:kern w:val="0"/>
                <w:sz w:val="20"/>
                <w:szCs w:val="20"/>
                <w:lang w:val="en-US" w:eastAsia="zh-CN" w:bidi="ar-SA"/>
              </w:rPr>
              <w:t>佛山电器照明股份有限公司</w:t>
            </w:r>
          </w:p>
        </w:tc>
      </w:tr>
      <w:tr w14:paraId="08F2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619" w:type="dxa"/>
            <w:vMerge w:val="continue"/>
            <w:vAlign w:val="top"/>
          </w:tcPr>
          <w:p w14:paraId="76011A2D">
            <w:pPr>
              <w:pStyle w:val="6"/>
            </w:pPr>
          </w:p>
        </w:tc>
        <w:tc>
          <w:tcPr>
            <w:tcW w:w="7849" w:type="dxa"/>
            <w:vAlign w:val="center"/>
          </w:tcPr>
          <w:p w14:paraId="4018C10F">
            <w:pPr>
              <w:keepNext w:val="0"/>
              <w:keepLines w:val="0"/>
              <w:pageBreakBefore w:val="0"/>
              <w:widowControl/>
              <w:kinsoku w:val="0"/>
              <w:wordWrap/>
              <w:overflowPunct/>
              <w:topLinePunct w:val="0"/>
              <w:autoSpaceDE w:val="0"/>
              <w:autoSpaceDN w:val="0"/>
              <w:bidi w:val="0"/>
              <w:adjustRightInd w:val="0"/>
              <w:snapToGrid w:val="0"/>
              <w:spacing w:line="240" w:lineRule="auto"/>
              <w:ind w:left="130"/>
              <w:jc w:val="both"/>
              <w:textAlignment w:val="baseline"/>
              <w:rPr>
                <w:rFonts w:hint="default" w:ascii="Times New Roman" w:hAnsi="Times New Roman" w:eastAsia="微软雅黑" w:cs="Times New Roman"/>
                <w:snapToGrid w:val="0"/>
                <w:color w:val="000000"/>
                <w:spacing w:val="2"/>
                <w:kern w:val="0"/>
                <w:sz w:val="20"/>
                <w:szCs w:val="20"/>
                <w:lang w:val="en-US" w:eastAsia="zh-CN" w:bidi="ar-SA"/>
              </w:rPr>
            </w:pPr>
            <w:r>
              <w:rPr>
                <w:rFonts w:hint="eastAsia" w:ascii="Times New Roman" w:hAnsi="Times New Roman" w:eastAsia="微软雅黑" w:cs="Times New Roman"/>
                <w:snapToGrid w:val="0"/>
                <w:color w:val="000000"/>
                <w:spacing w:val="2"/>
                <w:kern w:val="0"/>
                <w:sz w:val="20"/>
                <w:szCs w:val="20"/>
                <w:lang w:val="en-US" w:eastAsia="zh-CN" w:bidi="ar-SA"/>
              </w:rPr>
              <w:t>4</w:t>
            </w:r>
            <w:r>
              <w:rPr>
                <w:rFonts w:hint="default" w:ascii="Times New Roman" w:hAnsi="Times New Roman" w:eastAsia="微软雅黑" w:cs="Times New Roman"/>
                <w:snapToGrid w:val="0"/>
                <w:color w:val="000000"/>
                <w:spacing w:val="2"/>
                <w:kern w:val="0"/>
                <w:sz w:val="20"/>
                <w:szCs w:val="20"/>
                <w:lang w:val="en-US" w:eastAsia="zh-CN" w:bidi="ar-SA"/>
              </w:rPr>
              <w:t>.</w:t>
            </w:r>
            <w:r>
              <w:rPr>
                <w:rFonts w:hint="eastAsia" w:ascii="Times New Roman" w:hAnsi="Times New Roman" w:eastAsia="微软雅黑" w:cs="Times New Roman"/>
                <w:snapToGrid w:val="0"/>
                <w:color w:val="000000"/>
                <w:spacing w:val="2"/>
                <w:kern w:val="0"/>
                <w:sz w:val="20"/>
                <w:szCs w:val="20"/>
                <w:lang w:val="en-US" w:eastAsia="zh-CN" w:bidi="ar-SA"/>
              </w:rPr>
              <w:t>中山大学中山眼科中心</w:t>
            </w:r>
          </w:p>
        </w:tc>
      </w:tr>
      <w:tr w14:paraId="4398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619" w:type="dxa"/>
            <w:vMerge w:val="continue"/>
            <w:vAlign w:val="top"/>
          </w:tcPr>
          <w:p w14:paraId="7F01C406">
            <w:pPr>
              <w:pStyle w:val="6"/>
            </w:pPr>
          </w:p>
        </w:tc>
        <w:tc>
          <w:tcPr>
            <w:tcW w:w="7849" w:type="dxa"/>
            <w:vAlign w:val="center"/>
          </w:tcPr>
          <w:p w14:paraId="6BC8AF8C">
            <w:pPr>
              <w:keepNext w:val="0"/>
              <w:keepLines w:val="0"/>
              <w:pageBreakBefore w:val="0"/>
              <w:widowControl/>
              <w:kinsoku w:val="0"/>
              <w:wordWrap/>
              <w:overflowPunct/>
              <w:topLinePunct w:val="0"/>
              <w:autoSpaceDE w:val="0"/>
              <w:autoSpaceDN w:val="0"/>
              <w:bidi w:val="0"/>
              <w:adjustRightInd w:val="0"/>
              <w:snapToGrid w:val="0"/>
              <w:spacing w:line="240" w:lineRule="auto"/>
              <w:ind w:left="130"/>
              <w:jc w:val="both"/>
              <w:textAlignment w:val="baseline"/>
              <w:rPr>
                <w:rFonts w:hint="default" w:ascii="Times New Roman" w:hAnsi="Times New Roman" w:eastAsia="微软雅黑" w:cs="Times New Roman"/>
                <w:snapToGrid w:val="0"/>
                <w:color w:val="000000"/>
                <w:spacing w:val="2"/>
                <w:kern w:val="0"/>
                <w:sz w:val="20"/>
                <w:szCs w:val="20"/>
                <w:lang w:val="en-US" w:eastAsia="zh-CN" w:bidi="ar-SA"/>
              </w:rPr>
            </w:pPr>
            <w:r>
              <w:rPr>
                <w:rFonts w:hint="eastAsia" w:ascii="Times New Roman" w:hAnsi="Times New Roman" w:eastAsia="微软雅黑" w:cs="Times New Roman"/>
                <w:snapToGrid w:val="0"/>
                <w:color w:val="000000"/>
                <w:spacing w:val="2"/>
                <w:kern w:val="0"/>
                <w:sz w:val="20"/>
                <w:szCs w:val="20"/>
                <w:lang w:val="en-US" w:eastAsia="zh-CN" w:bidi="ar-SA"/>
              </w:rPr>
              <w:t>5.广东省中山市质量计量监督检测所</w:t>
            </w:r>
          </w:p>
        </w:tc>
      </w:tr>
      <w:tr w14:paraId="61C6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619" w:type="dxa"/>
            <w:vMerge w:val="continue"/>
            <w:vAlign w:val="top"/>
          </w:tcPr>
          <w:p w14:paraId="48A2F74E">
            <w:pPr>
              <w:pStyle w:val="6"/>
            </w:pPr>
          </w:p>
        </w:tc>
        <w:tc>
          <w:tcPr>
            <w:tcW w:w="7849" w:type="dxa"/>
            <w:vAlign w:val="center"/>
          </w:tcPr>
          <w:p w14:paraId="4491BE8A">
            <w:pPr>
              <w:keepNext w:val="0"/>
              <w:keepLines w:val="0"/>
              <w:pageBreakBefore w:val="0"/>
              <w:widowControl/>
              <w:kinsoku w:val="0"/>
              <w:wordWrap/>
              <w:overflowPunct/>
              <w:topLinePunct w:val="0"/>
              <w:autoSpaceDE w:val="0"/>
              <w:autoSpaceDN w:val="0"/>
              <w:bidi w:val="0"/>
              <w:adjustRightInd w:val="0"/>
              <w:snapToGrid w:val="0"/>
              <w:spacing w:line="240" w:lineRule="auto"/>
              <w:ind w:left="130"/>
              <w:jc w:val="both"/>
              <w:textAlignment w:val="baseline"/>
              <w:rPr>
                <w:rFonts w:hint="default" w:ascii="Times New Roman" w:hAnsi="Times New Roman" w:eastAsia="微软雅黑" w:cs="Times New Roman"/>
                <w:snapToGrid w:val="0"/>
                <w:color w:val="000000"/>
                <w:spacing w:val="2"/>
                <w:kern w:val="0"/>
                <w:sz w:val="20"/>
                <w:szCs w:val="20"/>
                <w:lang w:val="en-US" w:eastAsia="zh-CN" w:bidi="ar-SA"/>
              </w:rPr>
            </w:pPr>
            <w:r>
              <w:rPr>
                <w:rFonts w:hint="eastAsia" w:ascii="Times New Roman" w:hAnsi="Times New Roman" w:eastAsia="微软雅黑" w:cs="Times New Roman"/>
                <w:snapToGrid w:val="0"/>
                <w:color w:val="000000"/>
                <w:spacing w:val="2"/>
                <w:kern w:val="0"/>
                <w:sz w:val="20"/>
                <w:szCs w:val="20"/>
                <w:lang w:val="en-US" w:eastAsia="zh-CN" w:bidi="ar-SA"/>
              </w:rPr>
              <w:t>6.佛山市国星光电股份有限公司</w:t>
            </w:r>
          </w:p>
        </w:tc>
      </w:tr>
      <w:tr w14:paraId="7ADA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restart"/>
            <w:vAlign w:val="top"/>
          </w:tcPr>
          <w:p w14:paraId="2AA2932E">
            <w:pPr>
              <w:pStyle w:val="6"/>
              <w:spacing w:line="267" w:lineRule="auto"/>
            </w:pPr>
          </w:p>
          <w:p w14:paraId="0AEE1974">
            <w:pPr>
              <w:spacing w:before="85" w:line="236" w:lineRule="auto"/>
              <w:ind w:left="88" w:right="16" w:firstLine="196"/>
              <w:rPr>
                <w:rFonts w:ascii="微软雅黑" w:hAnsi="微软雅黑" w:eastAsia="微软雅黑" w:cs="微软雅黑"/>
                <w:sz w:val="20"/>
                <w:szCs w:val="20"/>
              </w:rPr>
            </w:pPr>
            <w:r>
              <w:rPr>
                <w:rFonts w:ascii="微软雅黑" w:hAnsi="微软雅黑" w:eastAsia="微软雅黑" w:cs="微软雅黑"/>
                <w:b/>
                <w:bCs/>
                <w:spacing w:val="8"/>
                <w:sz w:val="20"/>
                <w:szCs w:val="20"/>
              </w:rPr>
              <w:t>主要完成人</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 xml:space="preserve">（职称、完成单  </w:t>
            </w:r>
            <w:r>
              <w:rPr>
                <w:rFonts w:ascii="微软雅黑" w:hAnsi="微软雅黑" w:eastAsia="微软雅黑" w:cs="微软雅黑"/>
                <w:b/>
                <w:bCs/>
                <w:spacing w:val="15"/>
                <w:sz w:val="20"/>
                <w:szCs w:val="20"/>
              </w:rPr>
              <w:t>位、工作单位）</w:t>
            </w:r>
          </w:p>
        </w:tc>
        <w:tc>
          <w:tcPr>
            <w:tcW w:w="7849" w:type="dxa"/>
            <w:vAlign w:val="top"/>
          </w:tcPr>
          <w:p w14:paraId="317D49D1">
            <w:pPr>
              <w:spacing w:before="68" w:line="226" w:lineRule="auto"/>
              <w:ind w:left="129" w:leftChars="0"/>
              <w:rPr>
                <w:rFonts w:ascii="微软雅黑" w:hAnsi="微软雅黑" w:eastAsia="微软雅黑" w:cs="微软雅黑"/>
                <w:sz w:val="20"/>
                <w:szCs w:val="20"/>
              </w:rPr>
            </w:pPr>
            <w:r>
              <w:rPr>
                <w:rFonts w:hint="eastAsia" w:ascii="Times New Roman" w:hAnsi="Times New Roman" w:eastAsia="微软雅黑" w:cs="Times New Roman"/>
                <w:spacing w:val="9"/>
                <w:sz w:val="20"/>
                <w:szCs w:val="20"/>
              </w:rPr>
              <w:t>1.戴奇（研究员，复旦大学；担任项目负责人，负责项目总体研究方案的策划和核心关键技术的突破，直接参与课题研究工作，开发了综合视力健康与节律健康效果的多目标光谱调控技术，提出了空间视亮度评价关键指标及测试方法，将适用于教室光环境的视觉与节律健康评价指标及测量方法引入标准体系。本项目主要技术创新点1~3有突出贡献，对2项发明专利，4篇论文和1项标准有大量贡献。）</w:t>
            </w:r>
          </w:p>
        </w:tc>
      </w:tr>
      <w:tr w14:paraId="04B9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5348BD86">
            <w:pPr>
              <w:pStyle w:val="6"/>
            </w:pPr>
          </w:p>
        </w:tc>
        <w:tc>
          <w:tcPr>
            <w:tcW w:w="7849" w:type="dxa"/>
            <w:vAlign w:val="top"/>
          </w:tcPr>
          <w:p w14:paraId="6A78CA92">
            <w:pPr>
              <w:spacing w:before="68" w:line="226" w:lineRule="auto"/>
              <w:ind w:left="129" w:leftChars="0"/>
              <w:rPr>
                <w:rFonts w:hint="default" w:ascii="Times New Roman" w:hAnsi="Times New Roman" w:eastAsia="微软雅黑" w:cs="Times New Roman"/>
                <w:spacing w:val="9"/>
                <w:sz w:val="20"/>
                <w:szCs w:val="20"/>
                <w:lang w:val="en-US"/>
              </w:rPr>
            </w:pPr>
            <w:r>
              <w:rPr>
                <w:rFonts w:hint="default" w:ascii="Times New Roman" w:hAnsi="Times New Roman" w:eastAsia="微软雅黑" w:cs="Times New Roman"/>
                <w:spacing w:val="9"/>
                <w:sz w:val="20"/>
                <w:szCs w:val="20"/>
              </w:rPr>
              <w:t>2.</w:t>
            </w:r>
            <w:r>
              <w:rPr>
                <w:rFonts w:hint="eastAsia" w:ascii="Times New Roman" w:hAnsi="Times New Roman" w:eastAsia="微软雅黑" w:cs="Times New Roman"/>
                <w:spacing w:val="9"/>
                <w:sz w:val="20"/>
                <w:szCs w:val="20"/>
                <w:lang w:val="en-US" w:eastAsia="zh-CN"/>
              </w:rPr>
              <w:t>陈海波（高级工程师，研究生学历，硕士学位，广东产品质量监督检验研究院；担任项目第二完成人，负责项目的立项、研究以及应用推广工作，提出了类太阳光谱的全光谱评价指标，以及研究了教室眩光测试的位置和方法，并将相关研究成果写入相关标准，作为项目成果地方标准和团体标准的第一编制人，把项目研究成果成功推广应用在广东省的全部中小学校中。</w:t>
            </w:r>
            <w:r>
              <w:rPr>
                <w:rFonts w:hint="eastAsia" w:ascii="Times New Roman" w:hAnsi="Times New Roman" w:eastAsia="微软雅黑" w:cs="Times New Roman"/>
                <w:spacing w:val="9"/>
                <w:sz w:val="20"/>
                <w:szCs w:val="20"/>
              </w:rPr>
              <w:t>本项目主要技术创新点1~3有突出贡献，对</w:t>
            </w:r>
            <w:r>
              <w:rPr>
                <w:rFonts w:hint="eastAsia" w:ascii="Times New Roman" w:hAnsi="Times New Roman" w:eastAsia="微软雅黑" w:cs="Times New Roman"/>
                <w:spacing w:val="9"/>
                <w:sz w:val="20"/>
                <w:szCs w:val="20"/>
                <w:lang w:val="en-US" w:eastAsia="zh-CN"/>
              </w:rPr>
              <w:t>2</w:t>
            </w:r>
            <w:r>
              <w:rPr>
                <w:rFonts w:hint="eastAsia" w:ascii="Times New Roman" w:hAnsi="Times New Roman" w:eastAsia="微软雅黑" w:cs="Times New Roman"/>
                <w:spacing w:val="9"/>
                <w:sz w:val="20"/>
                <w:szCs w:val="20"/>
              </w:rPr>
              <w:t>项标准有大量贡献。）</w:t>
            </w:r>
          </w:p>
        </w:tc>
      </w:tr>
      <w:tr w14:paraId="3369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619" w:type="dxa"/>
            <w:vMerge w:val="continue"/>
            <w:vAlign w:val="top"/>
          </w:tcPr>
          <w:p w14:paraId="616F7FBA">
            <w:pPr>
              <w:pStyle w:val="6"/>
            </w:pPr>
          </w:p>
        </w:tc>
        <w:tc>
          <w:tcPr>
            <w:tcW w:w="7849" w:type="dxa"/>
            <w:vAlign w:val="top"/>
          </w:tcPr>
          <w:p w14:paraId="776E4A40">
            <w:pPr>
              <w:spacing w:before="68" w:line="226" w:lineRule="auto"/>
              <w:ind w:left="129" w:leftChars="0"/>
              <w:rPr>
                <w:rFonts w:hint="default" w:ascii="Times New Roman" w:hAnsi="Times New Roman" w:eastAsia="微软雅黑" w:cs="Times New Roman"/>
                <w:spacing w:val="9"/>
                <w:sz w:val="20"/>
                <w:szCs w:val="20"/>
              </w:rPr>
            </w:pPr>
            <w:r>
              <w:rPr>
                <w:rFonts w:hint="eastAsia" w:ascii="Times New Roman" w:hAnsi="Times New Roman" w:eastAsia="微软雅黑" w:cs="Times New Roman"/>
                <w:spacing w:val="9"/>
                <w:sz w:val="20"/>
                <w:szCs w:val="20"/>
                <w:lang w:val="en-US" w:eastAsia="zh-CN"/>
              </w:rPr>
              <w:t>3</w:t>
            </w:r>
            <w:r>
              <w:rPr>
                <w:rFonts w:hint="default" w:ascii="Times New Roman" w:hAnsi="Times New Roman" w:eastAsia="微软雅黑" w:cs="Times New Roman"/>
                <w:spacing w:val="9"/>
                <w:sz w:val="20"/>
                <w:szCs w:val="20"/>
              </w:rPr>
              <w:t>.丁文超（高级工程师，研究生学历，博士学位，佛山电器照明股份有限公司研究院副院长；担任项目第三完成人，参与项目空间视亮度和节律应用技术的研发，提出中小学教室照明评价体系，并制定相关标准，取得授权专利。对本项目技术创新点1-3有突出贡献，对3项发明专利，4篇论文和1项标准有大量贡献。）</w:t>
            </w:r>
          </w:p>
        </w:tc>
      </w:tr>
      <w:tr w14:paraId="7B74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5A525FE7">
            <w:pPr>
              <w:pStyle w:val="6"/>
            </w:pPr>
          </w:p>
        </w:tc>
        <w:tc>
          <w:tcPr>
            <w:tcW w:w="7849" w:type="dxa"/>
            <w:vAlign w:val="top"/>
          </w:tcPr>
          <w:p w14:paraId="715DF460">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4.彭振坚（高级工程师（教授级）、工程硕士，广东省中山市质量计量监督检测所副所长，担任项目第四完成人，直接参与课题研究工作，提出了中小学健康视觉环境关键技术指标及验证方法，制定相关标准。对本项目技术创新点3有突出贡献，对</w:t>
            </w:r>
            <w:r>
              <w:rPr>
                <w:rFonts w:hint="eastAsia" w:ascii="Times New Roman" w:hAnsi="Times New Roman" w:eastAsia="微软雅黑" w:cs="Times New Roman"/>
                <w:spacing w:val="9"/>
                <w:sz w:val="20"/>
                <w:szCs w:val="20"/>
                <w:lang w:val="en-US" w:eastAsia="zh-CN"/>
              </w:rPr>
              <w:t>2</w:t>
            </w:r>
            <w:r>
              <w:rPr>
                <w:rFonts w:hint="default" w:ascii="Times New Roman" w:hAnsi="Times New Roman" w:eastAsia="微软雅黑" w:cs="Times New Roman"/>
                <w:spacing w:val="9"/>
                <w:sz w:val="20"/>
                <w:szCs w:val="20"/>
                <w:lang w:val="en-US" w:eastAsia="zh-CN"/>
              </w:rPr>
              <w:t>项标准有大量贡献。）</w:t>
            </w:r>
          </w:p>
        </w:tc>
      </w:tr>
      <w:tr w14:paraId="11AE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51354456">
            <w:pPr>
              <w:pStyle w:val="6"/>
            </w:pPr>
          </w:p>
        </w:tc>
        <w:tc>
          <w:tcPr>
            <w:tcW w:w="7849" w:type="dxa"/>
            <w:vAlign w:val="top"/>
          </w:tcPr>
          <w:p w14:paraId="49EAD016">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5.</w:t>
            </w:r>
            <w:r>
              <w:rPr>
                <w:rFonts w:hint="eastAsia" w:ascii="Times New Roman" w:hAnsi="Times New Roman" w:eastAsia="微软雅黑" w:cs="Times New Roman"/>
                <w:spacing w:val="9"/>
                <w:sz w:val="20"/>
                <w:szCs w:val="20"/>
                <w:lang w:val="en-US" w:eastAsia="zh-CN"/>
              </w:rPr>
              <w:t>何伟洪（高级工程师，研究生学历，学士学位，广东产品质量监督检验研究院；担任项目第五完成人，负责项目的研究以及应用推广工作，提出了分档位验收的教室照明评价方法，以及研究了健康照明技术在台灯应用的研究，并将相关研究成果写入相关标准。</w:t>
            </w:r>
            <w:r>
              <w:rPr>
                <w:rFonts w:hint="eastAsia" w:ascii="Times New Roman" w:hAnsi="Times New Roman" w:eastAsia="微软雅黑" w:cs="Times New Roman"/>
                <w:spacing w:val="9"/>
                <w:sz w:val="20"/>
                <w:szCs w:val="20"/>
              </w:rPr>
              <w:t>本项目主要技术创新点</w:t>
            </w:r>
            <w:r>
              <w:rPr>
                <w:rFonts w:hint="eastAsia" w:ascii="Times New Roman" w:hAnsi="Times New Roman" w:eastAsia="微软雅黑" w:cs="Times New Roman"/>
                <w:spacing w:val="9"/>
                <w:sz w:val="20"/>
                <w:szCs w:val="20"/>
                <w:lang w:val="en-US" w:eastAsia="zh-CN"/>
              </w:rPr>
              <w:t>3</w:t>
            </w:r>
            <w:r>
              <w:rPr>
                <w:rFonts w:hint="eastAsia" w:ascii="Times New Roman" w:hAnsi="Times New Roman" w:eastAsia="微软雅黑" w:cs="Times New Roman"/>
                <w:spacing w:val="9"/>
                <w:sz w:val="20"/>
                <w:szCs w:val="20"/>
              </w:rPr>
              <w:t>有突出贡献，对</w:t>
            </w:r>
            <w:r>
              <w:rPr>
                <w:rFonts w:hint="eastAsia" w:ascii="Times New Roman" w:hAnsi="Times New Roman" w:eastAsia="微软雅黑" w:cs="Times New Roman"/>
                <w:spacing w:val="9"/>
                <w:sz w:val="20"/>
                <w:szCs w:val="20"/>
                <w:lang w:val="en-US" w:eastAsia="zh-CN"/>
              </w:rPr>
              <w:t>1</w:t>
            </w:r>
            <w:r>
              <w:rPr>
                <w:rFonts w:hint="eastAsia" w:ascii="Times New Roman" w:hAnsi="Times New Roman" w:eastAsia="微软雅黑" w:cs="Times New Roman"/>
                <w:spacing w:val="9"/>
                <w:sz w:val="20"/>
                <w:szCs w:val="20"/>
              </w:rPr>
              <w:t>项标准有大量贡献。）</w:t>
            </w:r>
          </w:p>
        </w:tc>
      </w:tr>
      <w:tr w14:paraId="7744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149561E5">
            <w:pPr>
              <w:pStyle w:val="6"/>
            </w:pPr>
          </w:p>
        </w:tc>
        <w:tc>
          <w:tcPr>
            <w:tcW w:w="7849" w:type="dxa"/>
            <w:vAlign w:val="top"/>
          </w:tcPr>
          <w:p w14:paraId="374FF638">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6.朱颖婷（主治医师；中山大学中山眼科中心，项目</w:t>
            </w:r>
            <w:r>
              <w:rPr>
                <w:rFonts w:hint="eastAsia" w:ascii="Times New Roman" w:hAnsi="Times New Roman" w:eastAsia="微软雅黑" w:cs="Times New Roman"/>
                <w:spacing w:val="9"/>
                <w:sz w:val="20"/>
                <w:szCs w:val="20"/>
                <w:lang w:val="en-US" w:eastAsia="zh-CN"/>
              </w:rPr>
              <w:t>第六完成人，</w:t>
            </w:r>
            <w:r>
              <w:rPr>
                <w:rFonts w:hint="default" w:ascii="Times New Roman" w:hAnsi="Times New Roman" w:eastAsia="微软雅黑" w:cs="Times New Roman"/>
                <w:spacing w:val="9"/>
                <w:sz w:val="20"/>
                <w:szCs w:val="20"/>
                <w:lang w:val="en-US" w:eastAsia="zh-CN"/>
              </w:rPr>
              <w:t>对本项目技术创新点</w:t>
            </w:r>
            <w:r>
              <w:rPr>
                <w:rFonts w:hint="eastAsia" w:ascii="Times New Roman" w:hAnsi="Times New Roman" w:eastAsia="微软雅黑" w:cs="Times New Roman"/>
                <w:spacing w:val="9"/>
                <w:sz w:val="20"/>
                <w:szCs w:val="20"/>
                <w:lang w:val="en-US" w:eastAsia="zh-CN"/>
              </w:rPr>
              <w:t>3有突出贡献</w:t>
            </w:r>
            <w:r>
              <w:rPr>
                <w:rFonts w:hint="default" w:ascii="Times New Roman" w:hAnsi="Times New Roman" w:eastAsia="微软雅黑" w:cs="Times New Roman"/>
                <w:spacing w:val="9"/>
                <w:sz w:val="20"/>
                <w:szCs w:val="20"/>
                <w:lang w:val="en-US" w:eastAsia="zh-CN"/>
              </w:rPr>
              <w:t>：研究发现珠海与喀什地区青少年儿童近视发展特征、高度近视风险预警人工智能模型开发及食蟹猴眼屈光生物参数研究，对论文5</w:t>
            </w:r>
            <w:r>
              <w:rPr>
                <w:rFonts w:hint="eastAsia" w:ascii="Times New Roman" w:hAnsi="Times New Roman" w:eastAsia="微软雅黑" w:cs="Times New Roman"/>
                <w:spacing w:val="9"/>
                <w:sz w:val="20"/>
                <w:szCs w:val="20"/>
                <w:lang w:val="en-US" w:eastAsia="zh-CN"/>
              </w:rPr>
              <w:t>和1项标准</w:t>
            </w:r>
            <w:r>
              <w:rPr>
                <w:rFonts w:hint="default" w:ascii="Times New Roman" w:hAnsi="Times New Roman" w:eastAsia="微软雅黑" w:cs="Times New Roman"/>
                <w:spacing w:val="9"/>
                <w:sz w:val="20"/>
                <w:szCs w:val="20"/>
                <w:lang w:val="en-US" w:eastAsia="zh-CN"/>
              </w:rPr>
              <w:t>有大量贡献）</w:t>
            </w:r>
          </w:p>
        </w:tc>
      </w:tr>
      <w:tr w14:paraId="3C78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1F09D110">
            <w:pPr>
              <w:pStyle w:val="6"/>
            </w:pPr>
          </w:p>
        </w:tc>
        <w:tc>
          <w:tcPr>
            <w:tcW w:w="7849" w:type="dxa"/>
            <w:vAlign w:val="top"/>
          </w:tcPr>
          <w:p w14:paraId="2647E2AB">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7.潘利兵（高级工程师、佛山市国星光电股份有限公司；</w:t>
            </w:r>
            <w:r>
              <w:rPr>
                <w:rFonts w:hint="eastAsia" w:ascii="Times New Roman" w:hAnsi="Times New Roman" w:eastAsia="微软雅黑" w:cs="Times New Roman"/>
                <w:spacing w:val="9"/>
                <w:sz w:val="20"/>
                <w:szCs w:val="20"/>
                <w:lang w:val="en-US" w:eastAsia="zh-CN"/>
              </w:rPr>
              <w:t>项目第七完成人，</w:t>
            </w:r>
            <w:r>
              <w:rPr>
                <w:rFonts w:hint="default" w:ascii="Times New Roman" w:hAnsi="Times New Roman" w:eastAsia="微软雅黑" w:cs="Times New Roman"/>
                <w:spacing w:val="9"/>
                <w:sz w:val="20"/>
                <w:szCs w:val="20"/>
                <w:lang w:val="en-US" w:eastAsia="zh-CN"/>
              </w:rPr>
              <w:t>直接参与课题研究工作，开发健康照明全光谱LED 器件，对本项目主要技术创新点2有突出贡献，对核心发明专利“一种白光LED 器件及其制备方法、LED 灯”（专利号：ZL201711277599.3）和“一种新型发光灯珠与灯具”（专利号：ZL201910356836.8）、团体标准《T/GIES 022-2024 中小学校教室照明技术规范》、健康照明相关产品产业化生产推广有贡献）</w:t>
            </w:r>
          </w:p>
        </w:tc>
      </w:tr>
      <w:tr w14:paraId="0283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64800AB6">
            <w:pPr>
              <w:pStyle w:val="6"/>
            </w:pPr>
          </w:p>
        </w:tc>
        <w:tc>
          <w:tcPr>
            <w:tcW w:w="7849" w:type="dxa"/>
            <w:vAlign w:val="top"/>
          </w:tcPr>
          <w:p w14:paraId="2773943B">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8.胡治国（博士研究生，复旦大学；担任项目第八完成人，直接参与课题研究工作，验证了节律健康照明指标效果，提出并论证了空间视亮度的关键评价指标与测试方法，将适用于教室光环境的空间视亮度与节律健康指标及测量方法引入照明标准体系。对本项目技术创新点1-3有突出贡献，对3篇论文和1项标准有大量贡献）</w:t>
            </w:r>
          </w:p>
        </w:tc>
      </w:tr>
      <w:tr w14:paraId="54D8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20E57263">
            <w:pPr>
              <w:pStyle w:val="6"/>
            </w:pPr>
          </w:p>
        </w:tc>
        <w:tc>
          <w:tcPr>
            <w:tcW w:w="7849" w:type="dxa"/>
            <w:vAlign w:val="top"/>
          </w:tcPr>
          <w:p w14:paraId="5D4C62E1">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9.林智（副主任技师；中山大学中山眼科中心，项目</w:t>
            </w:r>
            <w:r>
              <w:rPr>
                <w:rFonts w:hint="eastAsia" w:ascii="Times New Roman" w:hAnsi="Times New Roman" w:eastAsia="微软雅黑" w:cs="Times New Roman"/>
                <w:spacing w:val="9"/>
                <w:sz w:val="20"/>
                <w:szCs w:val="20"/>
                <w:lang w:val="en-US" w:eastAsia="zh-CN"/>
              </w:rPr>
              <w:t>第九完成人，</w:t>
            </w:r>
            <w:r>
              <w:rPr>
                <w:rFonts w:hint="default" w:ascii="Times New Roman" w:hAnsi="Times New Roman" w:eastAsia="微软雅黑" w:cs="Times New Roman"/>
                <w:spacing w:val="9"/>
                <w:sz w:val="20"/>
                <w:szCs w:val="20"/>
                <w:lang w:val="en-US" w:eastAsia="zh-CN"/>
              </w:rPr>
              <w:t>对本项目主要贡献：把儿童青少年近视防控工作研究成果融于制定地方标准。对地方标准和团体标准有大量贡献。</w:t>
            </w:r>
            <w:r>
              <w:rPr>
                <w:rFonts w:hint="eastAsia" w:ascii="Times New Roman" w:hAnsi="Times New Roman" w:eastAsia="微软雅黑" w:cs="Times New Roman"/>
                <w:spacing w:val="9"/>
                <w:sz w:val="20"/>
                <w:szCs w:val="20"/>
                <w:lang w:val="en-US" w:eastAsia="zh-CN"/>
              </w:rPr>
              <w:t>）</w:t>
            </w:r>
          </w:p>
        </w:tc>
      </w:tr>
      <w:tr w14:paraId="4367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53DFA332">
            <w:pPr>
              <w:pStyle w:val="6"/>
            </w:pPr>
          </w:p>
        </w:tc>
        <w:tc>
          <w:tcPr>
            <w:tcW w:w="7849" w:type="dxa"/>
            <w:vAlign w:val="top"/>
          </w:tcPr>
          <w:p w14:paraId="6E44F975">
            <w:pPr>
              <w:spacing w:before="68" w:line="226" w:lineRule="auto"/>
              <w:ind w:left="129" w:leftChars="0"/>
              <w:rPr>
                <w:rFonts w:hint="default" w:ascii="Times New Roman" w:hAnsi="Times New Roman" w:eastAsia="微软雅黑" w:cs="Times New Roman"/>
                <w:spacing w:val="9"/>
                <w:sz w:val="20"/>
                <w:szCs w:val="20"/>
                <w:lang w:val="en-US" w:eastAsia="zh-CN"/>
              </w:rPr>
            </w:pPr>
            <w:r>
              <w:rPr>
                <w:rFonts w:hint="default" w:ascii="Times New Roman" w:hAnsi="Times New Roman" w:eastAsia="微软雅黑" w:cs="Times New Roman"/>
                <w:spacing w:val="9"/>
                <w:sz w:val="20"/>
                <w:szCs w:val="20"/>
                <w:lang w:val="en-US" w:eastAsia="zh-CN"/>
              </w:rPr>
              <w:t>10.卞国权（大学学历，学士学位，佛山电器照明股份有限公司研究院工程师；担任项目第十完成人，参与项目健康照明灯具的设计和开发，完成相关产品认证和测试，提出光谱修正技术，提高产品显色性能，并参与制定团体标准，取得授权专利。对本项目技术创新点3有突出贡献，对2项发明专利，1项团体标准有大量贡献）</w:t>
            </w:r>
          </w:p>
        </w:tc>
      </w:tr>
      <w:tr w14:paraId="6BB5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619" w:type="dxa"/>
            <w:vMerge w:val="restart"/>
            <w:vAlign w:val="top"/>
          </w:tcPr>
          <w:p w14:paraId="4F50613C">
            <w:pPr>
              <w:pStyle w:val="6"/>
              <w:spacing w:line="451" w:lineRule="auto"/>
            </w:pPr>
          </w:p>
          <w:p w14:paraId="738F6DFE">
            <w:pPr>
              <w:spacing w:before="85" w:line="189" w:lineRule="auto"/>
              <w:ind w:left="284"/>
              <w:rPr>
                <w:rFonts w:ascii="微软雅黑" w:hAnsi="微软雅黑" w:eastAsia="微软雅黑" w:cs="微软雅黑"/>
                <w:sz w:val="20"/>
                <w:szCs w:val="20"/>
              </w:rPr>
            </w:pPr>
            <w:r>
              <w:rPr>
                <w:rFonts w:ascii="微软雅黑" w:hAnsi="微软雅黑" w:eastAsia="微软雅黑" w:cs="微软雅黑"/>
                <w:b/>
                <w:bCs/>
                <w:spacing w:val="9"/>
                <w:sz w:val="20"/>
                <w:szCs w:val="20"/>
              </w:rPr>
              <w:t>代表性论文</w:t>
            </w:r>
          </w:p>
          <w:p w14:paraId="20CD19C0">
            <w:pPr>
              <w:spacing w:before="89" w:line="189" w:lineRule="auto"/>
              <w:ind w:left="392"/>
              <w:rPr>
                <w:rFonts w:ascii="微软雅黑" w:hAnsi="微软雅黑" w:eastAsia="微软雅黑" w:cs="微软雅黑"/>
                <w:sz w:val="20"/>
                <w:szCs w:val="20"/>
              </w:rPr>
            </w:pPr>
            <w:r>
              <w:rPr>
                <w:rFonts w:ascii="微软雅黑" w:hAnsi="微软雅黑" w:eastAsia="微软雅黑" w:cs="微软雅黑"/>
                <w:b/>
                <w:bCs/>
                <w:spacing w:val="8"/>
                <w:sz w:val="20"/>
                <w:szCs w:val="20"/>
              </w:rPr>
              <w:t>专著目录</w:t>
            </w:r>
          </w:p>
        </w:tc>
        <w:tc>
          <w:tcPr>
            <w:tcW w:w="7849" w:type="dxa"/>
            <w:vAlign w:val="top"/>
          </w:tcPr>
          <w:p w14:paraId="03793DD3">
            <w:pPr>
              <w:spacing w:before="109" w:line="189" w:lineRule="auto"/>
              <w:ind w:left="109"/>
              <w:rPr>
                <w:rFonts w:hint="eastAsia" w:ascii="微软雅黑" w:hAnsi="微软雅黑" w:eastAsia="微软雅黑" w:cs="微软雅黑"/>
                <w:spacing w:val="6"/>
                <w:sz w:val="20"/>
                <w:szCs w:val="20"/>
              </w:rPr>
            </w:pPr>
            <w:r>
              <w:rPr>
                <w:rFonts w:hint="eastAsia" w:ascii="微软雅黑" w:hAnsi="微软雅黑" w:eastAsia="微软雅黑" w:cs="微软雅黑"/>
                <w:spacing w:val="6"/>
                <w:sz w:val="20"/>
                <w:szCs w:val="20"/>
              </w:rPr>
              <w:t>论文1</w:t>
            </w:r>
            <w:r>
              <w:rPr>
                <w:rFonts w:hint="eastAsia" w:ascii="微软雅黑" w:hAnsi="微软雅黑" w:eastAsia="微软雅黑" w:cs="微软雅黑"/>
                <w:spacing w:val="6"/>
                <w:sz w:val="20"/>
                <w:szCs w:val="20"/>
                <w:lang w:eastAsia="zh-CN"/>
              </w:rPr>
              <w:t>：</w:t>
            </w:r>
            <w:r>
              <w:rPr>
                <w:rFonts w:hint="eastAsia" w:ascii="微软雅黑" w:hAnsi="微软雅黑" w:eastAsia="微软雅黑" w:cs="微软雅黑"/>
                <w:spacing w:val="6"/>
                <w:sz w:val="20"/>
                <w:szCs w:val="20"/>
              </w:rPr>
              <w:t>2022-BAE-Z Hu et al.-The impact of melanopic illuminance and CCT on spatial brightness perception of illuminated interiors and energy-saving implications</w:t>
            </w:r>
          </w:p>
        </w:tc>
      </w:tr>
      <w:tr w14:paraId="0640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19503807">
            <w:pPr>
              <w:pStyle w:val="6"/>
            </w:pPr>
          </w:p>
        </w:tc>
        <w:tc>
          <w:tcPr>
            <w:tcW w:w="7849" w:type="dxa"/>
            <w:vAlign w:val="top"/>
          </w:tcPr>
          <w:p w14:paraId="0EAB6A05">
            <w:pPr>
              <w:spacing w:before="109" w:line="189" w:lineRule="auto"/>
              <w:ind w:left="109"/>
              <w:rPr>
                <w:rFonts w:hint="eastAsia" w:ascii="微软雅黑" w:hAnsi="微软雅黑" w:eastAsia="微软雅黑" w:cs="微软雅黑"/>
                <w:spacing w:val="6"/>
                <w:sz w:val="20"/>
                <w:szCs w:val="20"/>
              </w:rPr>
            </w:pPr>
            <w:r>
              <w:rPr>
                <w:rFonts w:hint="eastAsia" w:ascii="微软雅黑" w:hAnsi="微软雅黑" w:eastAsia="微软雅黑" w:cs="微软雅黑"/>
                <w:spacing w:val="6"/>
                <w:sz w:val="20"/>
                <w:szCs w:val="20"/>
              </w:rPr>
              <w:t>论文2</w:t>
            </w:r>
            <w:r>
              <w:rPr>
                <w:rFonts w:hint="eastAsia" w:ascii="微软雅黑" w:hAnsi="微软雅黑" w:eastAsia="微软雅黑" w:cs="微软雅黑"/>
                <w:spacing w:val="6"/>
                <w:sz w:val="20"/>
                <w:szCs w:val="20"/>
                <w:lang w:eastAsia="zh-CN"/>
              </w:rPr>
              <w:t>：</w:t>
            </w:r>
            <w:r>
              <w:rPr>
                <w:rFonts w:hint="eastAsia" w:ascii="微软雅黑" w:hAnsi="微软雅黑" w:eastAsia="微软雅黑" w:cs="微软雅黑"/>
                <w:spacing w:val="6"/>
                <w:sz w:val="20"/>
                <w:szCs w:val="20"/>
              </w:rPr>
              <w:t>2023-BAE-</w:t>
            </w:r>
            <w:r>
              <w:rPr>
                <w:rFonts w:hint="eastAsia" w:ascii="微软雅黑" w:hAnsi="微软雅黑" w:eastAsia="微软雅黑" w:cs="微软雅黑"/>
                <w:spacing w:val="6"/>
                <w:sz w:val="20"/>
                <w:szCs w:val="20"/>
                <w:lang w:val="en-US" w:eastAsia="zh-CN"/>
              </w:rPr>
              <w:t>Q Dai</w:t>
            </w:r>
            <w:r>
              <w:rPr>
                <w:rFonts w:hint="eastAsia" w:ascii="微软雅黑" w:hAnsi="微软雅黑" w:eastAsia="微软雅黑" w:cs="微软雅黑"/>
                <w:spacing w:val="6"/>
                <w:sz w:val="20"/>
                <w:szCs w:val="20"/>
              </w:rPr>
              <w:t xml:space="preserve"> et al.-The impact of cyanopic illuminance on evening light induced circadian effects</w:t>
            </w:r>
          </w:p>
        </w:tc>
      </w:tr>
      <w:tr w14:paraId="490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2B24E2C6">
            <w:pPr>
              <w:pStyle w:val="6"/>
            </w:pPr>
          </w:p>
        </w:tc>
        <w:tc>
          <w:tcPr>
            <w:tcW w:w="7849" w:type="dxa"/>
            <w:vAlign w:val="top"/>
          </w:tcPr>
          <w:p w14:paraId="004A4237">
            <w:pPr>
              <w:spacing w:before="109" w:line="189" w:lineRule="auto"/>
              <w:ind w:left="109"/>
              <w:rPr>
                <w:rFonts w:hint="eastAsia" w:ascii="微软雅黑" w:hAnsi="微软雅黑" w:eastAsia="微软雅黑" w:cs="微软雅黑"/>
                <w:spacing w:val="6"/>
                <w:sz w:val="20"/>
                <w:szCs w:val="20"/>
              </w:rPr>
            </w:pPr>
            <w:r>
              <w:rPr>
                <w:rFonts w:hint="eastAsia" w:ascii="微软雅黑" w:hAnsi="微软雅黑" w:eastAsia="微软雅黑" w:cs="微软雅黑"/>
                <w:spacing w:val="6"/>
                <w:sz w:val="20"/>
                <w:szCs w:val="20"/>
              </w:rPr>
              <w:t xml:space="preserve">论文 </w:t>
            </w:r>
            <w:r>
              <w:rPr>
                <w:rFonts w:hint="eastAsia" w:ascii="微软雅黑" w:hAnsi="微软雅黑" w:eastAsia="微软雅黑" w:cs="微软雅黑"/>
                <w:spacing w:val="6"/>
                <w:sz w:val="20"/>
                <w:szCs w:val="20"/>
                <w:lang w:val="en-US" w:eastAsia="zh-CN"/>
              </w:rPr>
              <w:t>3</w:t>
            </w:r>
            <w:r>
              <w:rPr>
                <w:rFonts w:hint="eastAsia" w:ascii="微软雅黑" w:hAnsi="微软雅黑" w:eastAsia="微软雅黑" w:cs="微软雅黑"/>
                <w:spacing w:val="6"/>
                <w:sz w:val="20"/>
                <w:szCs w:val="20"/>
              </w:rPr>
              <w:t>：2023-OE-Z Hu et al.-Assessment of spatial brightness for a visual field in interior spaces based on indirect corneal illuminance</w:t>
            </w:r>
          </w:p>
        </w:tc>
      </w:tr>
      <w:tr w14:paraId="6EC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718BF584">
            <w:pPr>
              <w:pStyle w:val="6"/>
            </w:pPr>
          </w:p>
        </w:tc>
        <w:tc>
          <w:tcPr>
            <w:tcW w:w="7849" w:type="dxa"/>
            <w:vAlign w:val="top"/>
          </w:tcPr>
          <w:p w14:paraId="63EBCB1B">
            <w:pPr>
              <w:spacing w:before="109" w:line="189" w:lineRule="auto"/>
              <w:ind w:left="109"/>
              <w:rPr>
                <w:rFonts w:hint="eastAsia" w:ascii="微软雅黑" w:hAnsi="微软雅黑" w:eastAsia="微软雅黑" w:cs="微软雅黑"/>
                <w:spacing w:val="6"/>
                <w:sz w:val="20"/>
                <w:szCs w:val="20"/>
              </w:rPr>
            </w:pPr>
            <w:r>
              <w:rPr>
                <w:rFonts w:hint="eastAsia" w:ascii="微软雅黑" w:hAnsi="微软雅黑" w:eastAsia="微软雅黑" w:cs="微软雅黑"/>
                <w:spacing w:val="6"/>
                <w:sz w:val="20"/>
                <w:szCs w:val="20"/>
              </w:rPr>
              <w:t xml:space="preserve">论文 </w:t>
            </w:r>
            <w:r>
              <w:rPr>
                <w:rFonts w:hint="eastAsia" w:ascii="微软雅黑" w:hAnsi="微软雅黑" w:eastAsia="微软雅黑" w:cs="微软雅黑"/>
                <w:spacing w:val="6"/>
                <w:sz w:val="20"/>
                <w:szCs w:val="20"/>
                <w:lang w:val="en-US" w:eastAsia="zh-CN"/>
              </w:rPr>
              <w:t>4</w:t>
            </w:r>
            <w:r>
              <w:rPr>
                <w:rFonts w:hint="eastAsia" w:ascii="微软雅黑" w:hAnsi="微软雅黑" w:eastAsia="微软雅黑" w:cs="微软雅黑"/>
                <w:spacing w:val="6"/>
                <w:sz w:val="20"/>
                <w:szCs w:val="20"/>
              </w:rPr>
              <w:t>：2022-BAE-</w:t>
            </w:r>
            <w:r>
              <w:rPr>
                <w:rFonts w:hint="eastAsia" w:ascii="微软雅黑" w:hAnsi="微软雅黑" w:eastAsia="微软雅黑" w:cs="微软雅黑"/>
                <w:spacing w:val="6"/>
                <w:sz w:val="20"/>
                <w:szCs w:val="20"/>
                <w:lang w:val="en-US" w:eastAsia="zh-CN"/>
              </w:rPr>
              <w:t>Q Dai</w:t>
            </w:r>
            <w:r>
              <w:rPr>
                <w:rFonts w:hint="eastAsia" w:ascii="微软雅黑" w:hAnsi="微软雅黑" w:eastAsia="微软雅黑" w:cs="微软雅黑"/>
                <w:spacing w:val="6"/>
                <w:sz w:val="20"/>
                <w:szCs w:val="20"/>
              </w:rPr>
              <w:t xml:space="preserve"> et al.-On the estimation of Circadian Stimulus based on illuminance, correlated color temperature, and color rendering index</w:t>
            </w:r>
          </w:p>
        </w:tc>
      </w:tr>
      <w:tr w14:paraId="2837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3151203C">
            <w:pPr>
              <w:pStyle w:val="6"/>
            </w:pPr>
          </w:p>
        </w:tc>
        <w:tc>
          <w:tcPr>
            <w:tcW w:w="7849" w:type="dxa"/>
            <w:vAlign w:val="top"/>
          </w:tcPr>
          <w:p w14:paraId="01637FAA">
            <w:pPr>
              <w:spacing w:before="109" w:line="189" w:lineRule="auto"/>
              <w:ind w:left="109"/>
              <w:rPr>
                <w:rFonts w:hint="eastAsia" w:ascii="微软雅黑" w:hAnsi="微软雅黑" w:eastAsia="微软雅黑" w:cs="微软雅黑"/>
                <w:spacing w:val="6"/>
                <w:sz w:val="20"/>
                <w:szCs w:val="20"/>
              </w:rPr>
            </w:pPr>
            <w:r>
              <w:rPr>
                <w:rFonts w:hint="eastAsia" w:ascii="微软雅黑" w:hAnsi="微软雅黑" w:eastAsia="微软雅黑" w:cs="微软雅黑"/>
                <w:spacing w:val="6"/>
                <w:sz w:val="20"/>
                <w:szCs w:val="20"/>
              </w:rPr>
              <w:t xml:space="preserve">论文 </w:t>
            </w:r>
            <w:r>
              <w:rPr>
                <w:rFonts w:hint="eastAsia" w:ascii="微软雅黑" w:hAnsi="微软雅黑" w:eastAsia="微软雅黑" w:cs="微软雅黑"/>
                <w:spacing w:val="6"/>
                <w:sz w:val="20"/>
                <w:szCs w:val="20"/>
                <w:lang w:val="en-US" w:eastAsia="zh-CN"/>
              </w:rPr>
              <w:t>5</w:t>
            </w:r>
            <w:r>
              <w:rPr>
                <w:rFonts w:hint="eastAsia" w:ascii="微软雅黑" w:hAnsi="微软雅黑" w:eastAsia="微软雅黑" w:cs="微软雅黑"/>
                <w:spacing w:val="6"/>
                <w:sz w:val="20"/>
                <w:szCs w:val="20"/>
              </w:rPr>
              <w:t>：论文5-2022-中华眼视光学与视觉科学杂志-</w:t>
            </w:r>
            <w:r>
              <w:rPr>
                <w:rFonts w:hint="eastAsia" w:ascii="微软雅黑" w:hAnsi="微软雅黑" w:eastAsia="微软雅黑" w:cs="微软雅黑"/>
                <w:spacing w:val="6"/>
                <w:sz w:val="20"/>
                <w:szCs w:val="20"/>
                <w:lang w:val="en-US" w:eastAsia="zh-CN"/>
              </w:rPr>
              <w:t>朱颖婷-</w:t>
            </w:r>
            <w:r>
              <w:rPr>
                <w:rFonts w:hint="eastAsia" w:ascii="微软雅黑" w:hAnsi="微软雅黑" w:eastAsia="微软雅黑" w:cs="微软雅黑"/>
                <w:spacing w:val="6"/>
                <w:sz w:val="20"/>
                <w:szCs w:val="20"/>
              </w:rPr>
              <w:t>广东省珠海市与新疆省喀什市小学生视力和屈光状态的比较</w:t>
            </w:r>
          </w:p>
        </w:tc>
      </w:tr>
      <w:tr w14:paraId="35AF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restart"/>
            <w:vAlign w:val="top"/>
          </w:tcPr>
          <w:p w14:paraId="227B0416">
            <w:pPr>
              <w:pStyle w:val="6"/>
              <w:spacing w:line="313" w:lineRule="auto"/>
            </w:pPr>
          </w:p>
          <w:p w14:paraId="6D8A8A09">
            <w:pPr>
              <w:pStyle w:val="6"/>
              <w:spacing w:line="313" w:lineRule="auto"/>
            </w:pPr>
          </w:p>
          <w:p w14:paraId="1DCE1481">
            <w:pPr>
              <w:spacing w:before="86" w:line="189" w:lineRule="auto"/>
              <w:ind w:left="177"/>
              <w:rPr>
                <w:rFonts w:ascii="微软雅黑" w:hAnsi="微软雅黑" w:eastAsia="微软雅黑" w:cs="微软雅黑"/>
                <w:sz w:val="20"/>
                <w:szCs w:val="20"/>
              </w:rPr>
            </w:pPr>
            <w:r>
              <w:rPr>
                <w:rFonts w:ascii="微软雅黑" w:hAnsi="微软雅黑" w:eastAsia="微软雅黑" w:cs="微软雅黑"/>
                <w:b/>
                <w:bCs/>
                <w:spacing w:val="9"/>
                <w:sz w:val="20"/>
                <w:szCs w:val="20"/>
              </w:rPr>
              <w:t>知识产权名称</w:t>
            </w:r>
          </w:p>
        </w:tc>
        <w:tc>
          <w:tcPr>
            <w:tcW w:w="7849" w:type="dxa"/>
            <w:vAlign w:val="top"/>
          </w:tcPr>
          <w:p w14:paraId="65623ABF">
            <w:pPr>
              <w:spacing w:before="70" w:line="225" w:lineRule="auto"/>
              <w:ind w:left="109"/>
              <w:rPr>
                <w:rFonts w:ascii="微软雅黑" w:hAnsi="微软雅黑" w:eastAsia="微软雅黑" w:cs="微软雅黑"/>
                <w:sz w:val="20"/>
                <w:szCs w:val="20"/>
              </w:rPr>
            </w:pPr>
            <w:r>
              <w:rPr>
                <w:rFonts w:hint="eastAsia" w:ascii="微软雅黑" w:hAnsi="微软雅黑" w:eastAsia="微软雅黑" w:cs="微软雅黑"/>
                <w:spacing w:val="9"/>
                <w:sz w:val="20"/>
                <w:szCs w:val="20"/>
                <w:lang w:val="en-US" w:eastAsia="zh-CN"/>
              </w:rPr>
              <w:t>地方</w:t>
            </w:r>
            <w:r>
              <w:rPr>
                <w:rFonts w:hint="eastAsia" w:ascii="微软雅黑" w:hAnsi="微软雅黑" w:eastAsia="微软雅黑" w:cs="微软雅黑"/>
                <w:spacing w:val="9"/>
                <w:sz w:val="20"/>
                <w:szCs w:val="20"/>
                <w:lang w:eastAsia="zh-CN"/>
              </w:rPr>
              <w:t>标准：DB44T 2335-2021《中小学校教室照明技术规范》</w:t>
            </w:r>
          </w:p>
        </w:tc>
      </w:tr>
      <w:tr w14:paraId="7491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32D711CB">
            <w:pPr>
              <w:pStyle w:val="6"/>
            </w:pPr>
          </w:p>
        </w:tc>
        <w:tc>
          <w:tcPr>
            <w:tcW w:w="7849" w:type="dxa"/>
            <w:vAlign w:val="top"/>
          </w:tcPr>
          <w:p w14:paraId="58C34D19">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val="en-US" w:eastAsia="zh-CN"/>
              </w:rPr>
              <w:t>团体</w:t>
            </w:r>
            <w:r>
              <w:rPr>
                <w:rFonts w:hint="eastAsia" w:ascii="微软雅黑" w:hAnsi="微软雅黑" w:eastAsia="微软雅黑" w:cs="微软雅黑"/>
                <w:spacing w:val="9"/>
                <w:sz w:val="20"/>
                <w:szCs w:val="20"/>
                <w:lang w:eastAsia="zh-CN"/>
              </w:rPr>
              <w:t>标准：TGIES022-2024《中小学校教室照明技术规范》</w:t>
            </w:r>
          </w:p>
        </w:tc>
      </w:tr>
      <w:tr w14:paraId="0878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3B200D7A">
            <w:pPr>
              <w:pStyle w:val="6"/>
            </w:pPr>
          </w:p>
        </w:tc>
        <w:tc>
          <w:tcPr>
            <w:tcW w:w="7849" w:type="dxa"/>
            <w:vAlign w:val="top"/>
          </w:tcPr>
          <w:p w14:paraId="5FB1EE31">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1：《一种可变色温全光谱LED光源及灯具》</w:t>
            </w:r>
          </w:p>
        </w:tc>
      </w:tr>
      <w:tr w14:paraId="518B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6D472943">
            <w:pPr>
              <w:pStyle w:val="6"/>
            </w:pPr>
          </w:p>
        </w:tc>
        <w:tc>
          <w:tcPr>
            <w:tcW w:w="7849" w:type="dxa"/>
            <w:vAlign w:val="top"/>
          </w:tcPr>
          <w:p w14:paraId="17232CD5">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2：《一种光环境测试分析仪》</w:t>
            </w:r>
          </w:p>
        </w:tc>
      </w:tr>
      <w:tr w14:paraId="265F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23FD91B4">
            <w:pPr>
              <w:pStyle w:val="6"/>
            </w:pPr>
          </w:p>
        </w:tc>
        <w:tc>
          <w:tcPr>
            <w:tcW w:w="7849" w:type="dxa"/>
            <w:vAlign w:val="top"/>
          </w:tcPr>
          <w:p w14:paraId="391E3791">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3：《日间节律光谱的调制方法》</w:t>
            </w:r>
          </w:p>
        </w:tc>
      </w:tr>
      <w:tr w14:paraId="2151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37554BBD">
            <w:pPr>
              <w:pStyle w:val="6"/>
            </w:pPr>
          </w:p>
        </w:tc>
        <w:tc>
          <w:tcPr>
            <w:tcW w:w="7849" w:type="dxa"/>
            <w:vAlign w:val="top"/>
          </w:tcPr>
          <w:p w14:paraId="409B6CCB">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4：《夜间节律光谱的调制方法》</w:t>
            </w:r>
          </w:p>
        </w:tc>
      </w:tr>
      <w:tr w14:paraId="2BCA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28EE92AE">
            <w:pPr>
              <w:pStyle w:val="6"/>
            </w:pPr>
          </w:p>
        </w:tc>
        <w:tc>
          <w:tcPr>
            <w:tcW w:w="7849" w:type="dxa"/>
            <w:vAlign w:val="top"/>
          </w:tcPr>
          <w:p w14:paraId="0B9458E3">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5：《节律光谱的调制方法》</w:t>
            </w:r>
          </w:p>
        </w:tc>
      </w:tr>
      <w:tr w14:paraId="2598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13D2400E">
            <w:pPr>
              <w:pStyle w:val="6"/>
            </w:pPr>
          </w:p>
        </w:tc>
        <w:tc>
          <w:tcPr>
            <w:tcW w:w="7849" w:type="dxa"/>
            <w:vAlign w:val="top"/>
          </w:tcPr>
          <w:p w14:paraId="5136FCF9">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6：《光环境智能调控方法、光环境智能调控系统及设备》</w:t>
            </w:r>
          </w:p>
        </w:tc>
      </w:tr>
      <w:tr w14:paraId="3138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4511B35D">
            <w:pPr>
              <w:pStyle w:val="6"/>
            </w:pPr>
          </w:p>
        </w:tc>
        <w:tc>
          <w:tcPr>
            <w:tcW w:w="7849" w:type="dxa"/>
            <w:vAlign w:val="top"/>
          </w:tcPr>
          <w:p w14:paraId="49899B40">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7：《一种室内灯》</w:t>
            </w:r>
          </w:p>
        </w:tc>
      </w:tr>
      <w:tr w14:paraId="41A5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619" w:type="dxa"/>
            <w:vMerge w:val="continue"/>
            <w:vAlign w:val="top"/>
          </w:tcPr>
          <w:p w14:paraId="4F823A2B">
            <w:pPr>
              <w:pStyle w:val="6"/>
            </w:pPr>
          </w:p>
        </w:tc>
        <w:tc>
          <w:tcPr>
            <w:tcW w:w="7849" w:type="dxa"/>
            <w:vAlign w:val="top"/>
          </w:tcPr>
          <w:p w14:paraId="526E064D">
            <w:pPr>
              <w:spacing w:before="70" w:line="225" w:lineRule="auto"/>
              <w:ind w:left="108"/>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eastAsia="zh-CN"/>
              </w:rPr>
              <w:t>发明专利</w:t>
            </w:r>
            <w:r>
              <w:rPr>
                <w:rFonts w:hint="eastAsia" w:ascii="微软雅黑" w:hAnsi="微软雅黑" w:eastAsia="微软雅黑" w:cs="微软雅黑"/>
                <w:spacing w:val="9"/>
                <w:sz w:val="20"/>
                <w:szCs w:val="20"/>
                <w:lang w:val="en-US" w:eastAsia="zh-CN"/>
              </w:rPr>
              <w:t>8：《一种白光LED器件及其制备方法、LED灯》</w:t>
            </w:r>
          </w:p>
        </w:tc>
      </w:tr>
    </w:tbl>
    <w:p w14:paraId="27FA2738">
      <w:pPr>
        <w:rPr>
          <w:rFonts w:ascii="Arial"/>
          <w:sz w:val="21"/>
        </w:rPr>
      </w:pPr>
    </w:p>
    <w:p w14:paraId="0218241E"/>
    <w:p w14:paraId="7245948A">
      <w:pPr>
        <w:sectPr>
          <w:footerReference r:id="rId5" w:type="default"/>
          <w:pgSz w:w="11906" w:h="16839"/>
          <w:pgMar w:top="1431" w:right="933" w:bottom="400" w:left="1499" w:header="0" w:footer="0" w:gutter="0"/>
          <w:cols w:equalWidth="0" w:num="1">
            <w:col w:w="9474"/>
          </w:cols>
        </w:sectPr>
      </w:pPr>
    </w:p>
    <w:p w14:paraId="2891A8B7">
      <w:pPr>
        <w:pStyle w:val="2"/>
        <w:spacing w:before="38" w:line="192" w:lineRule="exact"/>
      </w:pPr>
    </w:p>
    <w:p w14:paraId="1F2EB925">
      <w:pPr>
        <w:spacing w:line="14" w:lineRule="auto"/>
        <w:rPr>
          <w:rFonts w:ascii="Arial"/>
          <w:sz w:val="2"/>
        </w:rPr>
      </w:pPr>
      <w:r>
        <w:rPr>
          <w:rFonts w:ascii="Arial" w:hAnsi="Arial" w:eastAsia="Arial" w:cs="Arial"/>
          <w:sz w:val="2"/>
          <w:szCs w:val="2"/>
        </w:rPr>
        <w:br w:type="column"/>
      </w:r>
    </w:p>
    <w:p w14:paraId="3BDDB19A">
      <w:pPr>
        <w:spacing w:before="73" w:line="87" w:lineRule="exact"/>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sectPr>
      <w:type w:val="continuous"/>
      <w:pgSz w:w="11906" w:h="16839"/>
      <w:pgMar w:top="1431" w:right="933" w:bottom="400" w:left="1499" w:header="0" w:footer="0" w:gutter="0"/>
      <w:cols w:equalWidth="0" w:num="2">
        <w:col w:w="4495" w:space="100"/>
        <w:col w:w="4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BE8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Y3OWMxNmViNGVhY2ZkYTBjZTdlYzkxOThhMjA3MzEifQ=="/>
  </w:docVars>
  <w:rsids>
    <w:rsidRoot w:val="00000000"/>
    <w:rsid w:val="02A85DE1"/>
    <w:rsid w:val="06A411DC"/>
    <w:rsid w:val="096007C9"/>
    <w:rsid w:val="1FFC2B8B"/>
    <w:rsid w:val="296E07D9"/>
    <w:rsid w:val="372F2AEC"/>
    <w:rsid w:val="3AF55DC9"/>
    <w:rsid w:val="3B547405"/>
    <w:rsid w:val="4262627F"/>
    <w:rsid w:val="42792F71"/>
    <w:rsid w:val="433A2314"/>
    <w:rsid w:val="5E7D7BC9"/>
    <w:rsid w:val="7189187F"/>
    <w:rsid w:val="7FEE4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1954</Words>
  <Characters>2445</Characters>
  <TotalTime>25</TotalTime>
  <ScaleCrop>false</ScaleCrop>
  <LinksUpToDate>false</LinksUpToDate>
  <CharactersWithSpaces>2533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2023-10-07T14:56:00Z</dcterms:created>
  <dc:creator>藏羚羊^^</dc:creator>
  <cp:lastModifiedBy>zjan</cp:lastModifiedBy>
  <dcterms:modified xsi:type="dcterms:W3CDTF">2024-12-09T04:51:44Z</dcterms:modified>
  <dc:title>附件4 2023年度广东省科学技奖公示表230926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2023-10-23T15:23:41Z</vt:filetime>
  </property>
  <property fmtid="{D5CDD505-2E9C-101B-9397-08002B2CF9AE}" pid="4" name="KSOProductBuildVer">
    <vt:lpwstr>2052-12.1.0.18912</vt:lpwstr>
  </property>
  <property fmtid="{D5CDD505-2E9C-101B-9397-08002B2CF9AE}" pid="5" name="ICV">
    <vt:lpwstr>A9C2F60AF64142069D4DF2C4E350CAB6_13</vt:lpwstr>
  </property>
</Properties>
</file>